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00" w:type="dxa"/>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9938"/>
      </w:tblGrid>
      <w:tr w:rsidR="00FF7E43" w:rsidTr="00FF7E43">
        <w:trPr>
          <w:tblCellSpacing w:w="0" w:type="dxa"/>
        </w:trPr>
        <w:tc>
          <w:tcPr>
            <w:tcW w:w="0" w:type="auto"/>
            <w:tcBorders>
              <w:top w:val="nil"/>
              <w:left w:val="nil"/>
              <w:bottom w:val="nil"/>
              <w:right w:val="nil"/>
            </w:tcBorders>
            <w:tcMar>
              <w:top w:w="150" w:type="dxa"/>
              <w:left w:w="150" w:type="dxa"/>
              <w:bottom w:w="150" w:type="dxa"/>
              <w:right w:w="150" w:type="dxa"/>
            </w:tcMar>
            <w:hideMark/>
          </w:tcPr>
          <w:tbl>
            <w:tblPr>
              <w:tblW w:w="5000" w:type="pct"/>
              <w:tblCellSpacing w:w="0" w:type="dxa"/>
              <w:tblCellMar>
                <w:top w:w="150" w:type="dxa"/>
                <w:left w:w="150" w:type="dxa"/>
                <w:bottom w:w="150" w:type="dxa"/>
                <w:right w:w="150" w:type="dxa"/>
              </w:tblCellMar>
              <w:tblLook w:val="04A0"/>
            </w:tblPr>
            <w:tblGrid>
              <w:gridCol w:w="9638"/>
            </w:tblGrid>
            <w:tr w:rsidR="00FF7E43">
              <w:trPr>
                <w:tblCellSpacing w:w="0" w:type="dxa"/>
              </w:trPr>
              <w:tc>
                <w:tcPr>
                  <w:tcW w:w="0" w:type="auto"/>
                  <w:vAlign w:val="center"/>
                  <w:hideMark/>
                </w:tcPr>
                <w:p w:rsidR="00FF7E43" w:rsidRDefault="00FF7E43">
                  <w:pPr>
                    <w:jc w:val="right"/>
                    <w:rPr>
                      <w:rFonts w:ascii="Verdana" w:eastAsia="Times New Roman" w:hAnsi="Verdana" w:cs="Arial"/>
                      <w:b/>
                      <w:bCs/>
                      <w:sz w:val="15"/>
                      <w:szCs w:val="15"/>
                    </w:rPr>
                  </w:pPr>
                  <w:r>
                    <w:rPr>
                      <w:rFonts w:ascii="Verdana" w:eastAsia="Times New Roman" w:hAnsi="Verdana" w:cs="Arial"/>
                      <w:b/>
                      <w:bCs/>
                      <w:sz w:val="15"/>
                      <w:szCs w:val="15"/>
                    </w:rPr>
                    <w:t xml:space="preserve">Julkaistu: 2013-11-01 07:00:01 CET </w:t>
                  </w:r>
                </w:p>
              </w:tc>
            </w:tr>
            <w:tr w:rsidR="00FF7E43">
              <w:trPr>
                <w:tblCellSpacing w:w="0" w:type="dxa"/>
              </w:trPr>
              <w:tc>
                <w:tcPr>
                  <w:tcW w:w="0" w:type="auto"/>
                  <w:vAlign w:val="center"/>
                  <w:hideMark/>
                </w:tcPr>
                <w:tbl>
                  <w:tblPr>
                    <w:tblW w:w="9450" w:type="dxa"/>
                    <w:tblCellSpacing w:w="15" w:type="dxa"/>
                    <w:tblBorders>
                      <w:top w:val="single" w:sz="6" w:space="0" w:color="CCCCCC"/>
                      <w:left w:val="single" w:sz="6" w:space="0" w:color="CCCCCC"/>
                      <w:bottom w:val="single" w:sz="6" w:space="0" w:color="CCCCCC"/>
                      <w:right w:val="single" w:sz="6" w:space="0" w:color="CCCCCC"/>
                    </w:tblBorders>
                    <w:shd w:val="clear" w:color="auto" w:fill="FFFFFF"/>
                    <w:tblCellMar>
                      <w:top w:w="45" w:type="dxa"/>
                      <w:left w:w="45" w:type="dxa"/>
                      <w:bottom w:w="45" w:type="dxa"/>
                      <w:right w:w="45" w:type="dxa"/>
                    </w:tblCellMar>
                    <w:tblLook w:val="04A0"/>
                  </w:tblPr>
                  <w:tblGrid>
                    <w:gridCol w:w="9450"/>
                  </w:tblGrid>
                  <w:tr w:rsidR="00FF7E43">
                    <w:trPr>
                      <w:tblCellSpacing w:w="15" w:type="dxa"/>
                    </w:trPr>
                    <w:tc>
                      <w:tcPr>
                        <w:tcW w:w="0" w:type="auto"/>
                        <w:tcBorders>
                          <w:top w:val="nil"/>
                          <w:left w:val="nil"/>
                          <w:bottom w:val="nil"/>
                          <w:right w:val="nil"/>
                        </w:tcBorders>
                        <w:shd w:val="clear" w:color="auto" w:fill="FFFFFF"/>
                        <w:hideMark/>
                      </w:tcPr>
                      <w:p w:rsidR="00FF7E43" w:rsidRDefault="00FF7E43">
                        <w:pPr>
                          <w:jc w:val="right"/>
                          <w:rPr>
                            <w:rFonts w:ascii="Arial" w:eastAsia="Times New Roman" w:hAnsi="Arial" w:cs="Arial"/>
                            <w:color w:val="000000"/>
                            <w:sz w:val="22"/>
                            <w:szCs w:val="22"/>
                          </w:rPr>
                        </w:pPr>
                        <w:r>
                          <w:rPr>
                            <w:rFonts w:ascii="Arial" w:eastAsia="Times New Roman" w:hAnsi="Arial" w:cs="Arial"/>
                            <w:noProof/>
                            <w:color w:val="000000"/>
                            <w:sz w:val="22"/>
                            <w:szCs w:val="22"/>
                          </w:rPr>
                          <w:drawing>
                            <wp:inline distT="0" distB="0" distL="0" distR="0">
                              <wp:extent cx="2162175" cy="676275"/>
                              <wp:effectExtent l="19050" t="0" r="9525" b="0"/>
                              <wp:docPr id="1" name="Kuva 1" descr="https://newsclient.omxgroup.com:443/cds/logo?dpId=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ewsclient.omxgroup.com:443/cds/logo?dpId=100"/>
                                      <pic:cNvPicPr>
                                        <a:picLocks noChangeAspect="1" noChangeArrowheads="1"/>
                                      </pic:cNvPicPr>
                                    </pic:nvPicPr>
                                    <pic:blipFill>
                                      <a:blip r:embed="rId4"/>
                                      <a:srcRect/>
                                      <a:stretch>
                                        <a:fillRect/>
                                      </a:stretch>
                                    </pic:blipFill>
                                    <pic:spPr bwMode="auto">
                                      <a:xfrm>
                                        <a:off x="0" y="0"/>
                                        <a:ext cx="2162175" cy="676275"/>
                                      </a:xfrm>
                                      <a:prstGeom prst="rect">
                                        <a:avLst/>
                                      </a:prstGeom>
                                      <a:noFill/>
                                      <a:ln w="9525">
                                        <a:noFill/>
                                        <a:miter lim="800000"/>
                                        <a:headEnd/>
                                        <a:tailEnd/>
                                      </a:ln>
                                    </pic:spPr>
                                  </pic:pic>
                                </a:graphicData>
                              </a:graphic>
                            </wp:inline>
                          </w:drawing>
                        </w:r>
                      </w:p>
                    </w:tc>
                  </w:tr>
                  <w:tr w:rsidR="00FF7E43">
                    <w:trPr>
                      <w:tblCellSpacing w:w="15" w:type="dxa"/>
                    </w:trPr>
                    <w:tc>
                      <w:tcPr>
                        <w:tcW w:w="0" w:type="auto"/>
                        <w:tcBorders>
                          <w:top w:val="nil"/>
                          <w:left w:val="nil"/>
                          <w:bottom w:val="nil"/>
                          <w:right w:val="nil"/>
                        </w:tcBorders>
                        <w:shd w:val="clear" w:color="auto" w:fill="FFFFFF"/>
                        <w:vAlign w:val="center"/>
                        <w:hideMark/>
                      </w:tcPr>
                      <w:p w:rsidR="00FF7E43" w:rsidRDefault="00FF7E43">
                        <w:pPr>
                          <w:pStyle w:val="Otsikko6"/>
                          <w:rPr>
                            <w:rFonts w:ascii="Arial" w:eastAsia="Times New Roman" w:hAnsi="Arial" w:cs="Arial"/>
                            <w:color w:val="000000"/>
                          </w:rPr>
                        </w:pPr>
                        <w:r>
                          <w:rPr>
                            <w:rFonts w:ascii="Arial" w:eastAsia="Times New Roman" w:hAnsi="Arial" w:cs="Arial"/>
                            <w:color w:val="000000"/>
                          </w:rPr>
                          <w:t>Atria Oyj</w:t>
                        </w:r>
                        <w:r>
                          <w:rPr>
                            <w:rFonts w:ascii="Arial" w:eastAsia="Times New Roman" w:hAnsi="Arial" w:cs="Arial"/>
                            <w:color w:val="000000"/>
                          </w:rPr>
                          <w:br/>
                          <w:t>Osavuosikatsaus</w:t>
                        </w:r>
                      </w:p>
                      <w:p w:rsidR="00FF7E43" w:rsidRDefault="00FF7E43">
                        <w:pPr>
                          <w:pStyle w:val="Otsikko3"/>
                          <w:spacing w:before="270" w:beforeAutospacing="0"/>
                          <w:rPr>
                            <w:rFonts w:ascii="Arial" w:eastAsia="Times New Roman" w:hAnsi="Arial" w:cs="Arial"/>
                            <w:color w:val="000000"/>
                            <w:sz w:val="28"/>
                            <w:szCs w:val="28"/>
                          </w:rPr>
                        </w:pPr>
                        <w:r>
                          <w:rPr>
                            <w:rFonts w:ascii="Arial" w:eastAsia="Times New Roman" w:hAnsi="Arial" w:cs="Arial"/>
                            <w:color w:val="000000"/>
                            <w:sz w:val="28"/>
                            <w:szCs w:val="28"/>
                          </w:rPr>
                          <w:t>Atria Oyj:n osavuosikatsaus 1.1.-30.9.2013</w:t>
                        </w:r>
                      </w:p>
                      <w:p w:rsidR="00FF7E43" w:rsidRDefault="00FF7E43">
                        <w:pPr>
                          <w:pStyle w:val="Otsikko4"/>
                          <w:rPr>
                            <w:rFonts w:ascii="Arial" w:eastAsia="Times New Roman" w:hAnsi="Arial" w:cs="Arial"/>
                            <w:color w:val="000000"/>
                          </w:rPr>
                        </w:pPr>
                        <w:r>
                          <w:rPr>
                            <w:rFonts w:ascii="Arial" w:eastAsia="Times New Roman" w:hAnsi="Arial" w:cs="Arial"/>
                            <w:color w:val="000000"/>
                          </w:rPr>
                          <w:t>Atrian Venäjän järjestelyt painoivat tulosta</w:t>
                        </w:r>
                      </w:p>
                      <w:p w:rsidR="00FF7E43" w:rsidRDefault="00FF7E43">
                        <w:pPr>
                          <w:pStyle w:val="NormaaliWeb"/>
                          <w:rPr>
                            <w:rFonts w:ascii="Arial" w:hAnsi="Arial" w:cs="Arial"/>
                            <w:color w:val="000000"/>
                            <w:sz w:val="22"/>
                            <w:szCs w:val="22"/>
                          </w:rPr>
                        </w:pPr>
                        <w:r>
                          <w:rPr>
                            <w:rFonts w:ascii="Arial" w:hAnsi="Arial" w:cs="Arial"/>
                            <w:color w:val="000000"/>
                            <w:sz w:val="22"/>
                            <w:szCs w:val="22"/>
                          </w:rPr>
                          <w:t>Seinäjoki, Suomi, 2013-11-01 07:00 CET (GLOBE NEWSWIRE) -- Atria Oyj Pörssitiedote 1.11.2013 klo 8.00</w:t>
                        </w:r>
                        <w:r>
                          <w:rPr>
                            <w:rFonts w:ascii="Arial" w:hAnsi="Arial" w:cs="Arial"/>
                            <w:color w:val="000000"/>
                            <w:sz w:val="22"/>
                            <w:szCs w:val="22"/>
                          </w:rPr>
                          <w:br/>
                        </w:r>
                        <w:r>
                          <w:rPr>
                            <w:rFonts w:ascii="Arial" w:hAnsi="Arial" w:cs="Arial"/>
                            <w:color w:val="000000"/>
                            <w:sz w:val="22"/>
                            <w:szCs w:val="22"/>
                          </w:rPr>
                          <w:br/>
                        </w:r>
                        <w:r>
                          <w:rPr>
                            <w:rStyle w:val="Voimakas"/>
                            <w:rFonts w:ascii="Arial" w:hAnsi="Arial" w:cs="Arial"/>
                            <w:color w:val="000000"/>
                            <w:sz w:val="22"/>
                            <w:szCs w:val="22"/>
                          </w:rPr>
                          <w:t>ATRIA OYJ:N OSAVUOSIKATSAUS 1.1. - 30.9.2013</w:t>
                        </w:r>
                        <w:r>
                          <w:rPr>
                            <w:rFonts w:ascii="Arial" w:hAnsi="Arial" w:cs="Arial"/>
                            <w:b/>
                            <w:bCs/>
                            <w:color w:val="000000"/>
                            <w:sz w:val="22"/>
                            <w:szCs w:val="22"/>
                          </w:rPr>
                          <w:br/>
                        </w:r>
                        <w:r>
                          <w:rPr>
                            <w:rFonts w:ascii="Arial" w:hAnsi="Arial" w:cs="Arial"/>
                            <w:b/>
                            <w:bCs/>
                            <w:color w:val="000000"/>
                            <w:sz w:val="22"/>
                            <w:szCs w:val="22"/>
                          </w:rPr>
                          <w:br/>
                        </w:r>
                        <w:r>
                          <w:rPr>
                            <w:rStyle w:val="Voimakas"/>
                            <w:rFonts w:ascii="Arial" w:hAnsi="Arial" w:cs="Arial"/>
                            <w:color w:val="000000"/>
                            <w:sz w:val="22"/>
                            <w:szCs w:val="22"/>
                          </w:rPr>
                          <w:t xml:space="preserve">Atrian Venäjän järjestelyt painoivat tulosta </w:t>
                        </w:r>
                        <w:r>
                          <w:rPr>
                            <w:rFonts w:ascii="Arial" w:hAnsi="Arial" w:cs="Arial"/>
                            <w:color w:val="000000"/>
                            <w:sz w:val="22"/>
                            <w:szCs w:val="22"/>
                          </w:rPr>
                          <w:br/>
                        </w:r>
                        <w:r>
                          <w:rPr>
                            <w:rFonts w:ascii="Arial" w:hAnsi="Arial" w:cs="Arial"/>
                            <w:color w:val="000000"/>
                            <w:sz w:val="22"/>
                            <w:szCs w:val="22"/>
                          </w:rPr>
                          <w:br/>
                        </w:r>
                        <w:r>
                          <w:rPr>
                            <w:rStyle w:val="Voimakas"/>
                            <w:rFonts w:ascii="Arial" w:hAnsi="Arial" w:cs="Arial"/>
                            <w:color w:val="000000"/>
                            <w:sz w:val="20"/>
                            <w:szCs w:val="20"/>
                          </w:rPr>
                          <w:t>1.1. – 30.9.2013</w:t>
                        </w:r>
                        <w:r>
                          <w:rPr>
                            <w:rFonts w:ascii="Arial" w:hAnsi="Arial" w:cs="Arial"/>
                            <w:color w:val="000000"/>
                            <w:sz w:val="22"/>
                            <w:szCs w:val="22"/>
                          </w:rPr>
                          <w:br/>
                        </w:r>
                        <w:r>
                          <w:rPr>
                            <w:rFonts w:ascii="Arial" w:hAnsi="Arial" w:cs="Arial"/>
                            <w:color w:val="000000"/>
                            <w:sz w:val="20"/>
                            <w:szCs w:val="20"/>
                          </w:rPr>
                          <w:t>- Atria Venäjä luopuu sianlihan alkutuotannosta ja Moskovan tuotannollisista toiminnoista ja kirjasi tästä johtuen 23,0 miljoonan euron arvonalentumiset</w:t>
                        </w:r>
                        <w:r>
                          <w:rPr>
                            <w:rFonts w:ascii="Arial" w:hAnsi="Arial" w:cs="Arial"/>
                            <w:color w:val="000000"/>
                            <w:sz w:val="20"/>
                            <w:szCs w:val="20"/>
                          </w:rPr>
                          <w:br/>
                          <w:t>- Venäjän liiketoiminnoista tehtyjen kertaluonteisten kulukirjausten vuoksi Atria alensi liikevoittoennustettaan</w:t>
                        </w:r>
                        <w:r>
                          <w:rPr>
                            <w:rFonts w:ascii="Arial" w:hAnsi="Arial" w:cs="Arial"/>
                            <w:color w:val="000000"/>
                            <w:sz w:val="20"/>
                            <w:szCs w:val="20"/>
                          </w:rPr>
                          <w:br/>
                          <w:t>- Konsernin liikevoitto oli 9,1 miljoonaa euroa (22,4 milj. euroa), liikevoitto ilman kertaluonteisia eriä oli 24,4 miljoonaa euroa (22,4 milj. euroa)</w:t>
                        </w:r>
                        <w:r>
                          <w:rPr>
                            <w:rFonts w:ascii="Arial" w:hAnsi="Arial" w:cs="Arial"/>
                            <w:color w:val="000000"/>
                            <w:sz w:val="20"/>
                            <w:szCs w:val="20"/>
                          </w:rPr>
                          <w:br/>
                          <w:t>- Konsernin liikevaihto oli 1 050,4 miljoonaa euroa (982,9 milj. euroa)</w:t>
                        </w:r>
                        <w:r>
                          <w:rPr>
                            <w:rFonts w:ascii="Arial" w:hAnsi="Arial" w:cs="Arial"/>
                            <w:color w:val="000000"/>
                            <w:sz w:val="20"/>
                            <w:szCs w:val="20"/>
                          </w:rPr>
                          <w:br/>
                          <w:t>- Atria Suomen liikevaihto kasvoi 62,7 miljoonaa euroa ja oli 660,8 miljoonaa euroa (598,1 milj. euroa)</w:t>
                        </w:r>
                        <w:r>
                          <w:rPr>
                            <w:rFonts w:ascii="Arial" w:hAnsi="Arial" w:cs="Arial"/>
                            <w:color w:val="000000"/>
                            <w:sz w:val="20"/>
                            <w:szCs w:val="20"/>
                          </w:rPr>
                          <w:br/>
                          <w:t>- Atria Suomen liikevoitto oli 23,8 miljoonaa euroa (25,5 milj. euroa), liikevoitto ilman kertaluonteisia eriä oli 22,7 miljoonaa euroa (25,5 milj. euroa)</w:t>
                        </w:r>
                        <w:r>
                          <w:rPr>
                            <w:rFonts w:ascii="Arial" w:hAnsi="Arial" w:cs="Arial"/>
                            <w:color w:val="000000"/>
                            <w:sz w:val="20"/>
                            <w:szCs w:val="20"/>
                          </w:rPr>
                          <w:br/>
                          <w:t>- Atria Skandinavian liikevoitto oli 6,5 miljoonaa euroa (6,3 milj. euroa), liikevoitto ilman kertaluonteisia eriä oli 7,4 miljoonaa euroa (6,3 milj. euroa)</w:t>
                        </w:r>
                        <w:r>
                          <w:rPr>
                            <w:rFonts w:ascii="Arial" w:hAnsi="Arial" w:cs="Arial"/>
                            <w:color w:val="000000"/>
                            <w:sz w:val="20"/>
                            <w:szCs w:val="20"/>
                          </w:rPr>
                          <w:br/>
                          <w:t>- Atria Venäjän liiketulos oli -19,1 miljoonaa euroa (-4,7 milj. euroa), liiketulos ilman kertaluonteisia eriä oli -3,7 miljoonaa euroa (-4,7 milj. euroa)</w:t>
                        </w:r>
                        <w:r>
                          <w:rPr>
                            <w:rFonts w:ascii="Arial" w:hAnsi="Arial" w:cs="Arial"/>
                            <w:color w:val="000000"/>
                            <w:sz w:val="20"/>
                            <w:szCs w:val="20"/>
                          </w:rPr>
                          <w:br/>
                          <w:t>- Atria Baltian liiketulos oli -0,1 miljoonaa euroa (-1,3 milj. euroa)</w:t>
                        </w:r>
                        <w:r>
                          <w:rPr>
                            <w:rFonts w:ascii="Arial" w:hAnsi="Arial" w:cs="Arial"/>
                            <w:color w:val="000000"/>
                            <w:sz w:val="20"/>
                            <w:szCs w:val="20"/>
                          </w:rPr>
                          <w:br/>
                          <w:t>- Konsernin omavaraisuusaste oli 40,9 prosenttia (31.12.2012: 41,5 %)</w:t>
                        </w:r>
                        <w:r>
                          <w:rPr>
                            <w:rFonts w:ascii="Arial" w:hAnsi="Arial" w:cs="Arial"/>
                            <w:color w:val="000000"/>
                            <w:sz w:val="20"/>
                            <w:szCs w:val="20"/>
                          </w:rPr>
                          <w:br/>
                        </w:r>
                        <w:r>
                          <w:rPr>
                            <w:rFonts w:ascii="Arial" w:hAnsi="Arial" w:cs="Arial"/>
                            <w:color w:val="000000"/>
                            <w:sz w:val="20"/>
                            <w:szCs w:val="20"/>
                          </w:rPr>
                          <w:br/>
                        </w:r>
                        <w:r>
                          <w:rPr>
                            <w:rStyle w:val="Voimakas"/>
                            <w:rFonts w:ascii="Arial" w:hAnsi="Arial" w:cs="Arial"/>
                            <w:color w:val="000000"/>
                            <w:sz w:val="20"/>
                            <w:szCs w:val="20"/>
                          </w:rPr>
                          <w:t>1.7. – 30.9.2013</w:t>
                        </w:r>
                        <w:r>
                          <w:rPr>
                            <w:rFonts w:ascii="Arial" w:hAnsi="Arial" w:cs="Arial"/>
                            <w:color w:val="000000"/>
                            <w:sz w:val="20"/>
                            <w:szCs w:val="20"/>
                          </w:rPr>
                          <w:br/>
                          <w:t>- Atria Venäjä luopuu sianlihan alkutuotannosta ja Moskovan tuotannollisista toiminnoista ja kirjasi tästä johtuen 23,0 miljoonan euron arvonalentumiset</w:t>
                        </w:r>
                        <w:r>
                          <w:rPr>
                            <w:rFonts w:ascii="Arial" w:hAnsi="Arial" w:cs="Arial"/>
                            <w:color w:val="000000"/>
                            <w:sz w:val="20"/>
                            <w:szCs w:val="20"/>
                          </w:rPr>
                          <w:br/>
                          <w:t>- Venäjän liiketoiminnoista tehtyjen kertaluonteisten kulukirjausten vuoksi Atria alensi liikevoittoennustettaan</w:t>
                        </w:r>
                        <w:r>
                          <w:rPr>
                            <w:rFonts w:ascii="Arial" w:hAnsi="Arial" w:cs="Arial"/>
                            <w:color w:val="000000"/>
                            <w:sz w:val="20"/>
                            <w:szCs w:val="20"/>
                          </w:rPr>
                          <w:br/>
                          <w:t>- Konsernin liikevaihto oli 358,4 miljoonaa euroa (341,1 milj. euroa) ja liiketulos oli -1,8 miljoonaa euroa (16,6 milj. euroa). Liikevoitto ilman kertaluonteisia kuluja oli 14,6 miljoonaa euroa (16,6 milj. euroa)</w:t>
                        </w:r>
                        <w:r>
                          <w:rPr>
                            <w:rFonts w:ascii="Arial" w:hAnsi="Arial" w:cs="Arial"/>
                            <w:color w:val="000000"/>
                            <w:sz w:val="20"/>
                            <w:szCs w:val="20"/>
                          </w:rPr>
                          <w:br/>
                          <w:t>- Atria Suomen liikevaihto kasvoi 19,7 miljoonaa euroa ja oli 224,8 miljoonaa euroa (205,1 milj. euroa)</w:t>
                        </w:r>
                        <w:r>
                          <w:rPr>
                            <w:rFonts w:ascii="Arial" w:hAnsi="Arial" w:cs="Arial"/>
                            <w:color w:val="000000"/>
                            <w:sz w:val="20"/>
                            <w:szCs w:val="20"/>
                          </w:rPr>
                          <w:br/>
                          <w:t>- Atria Skandinavian liikevoitto oli 4,7 miljoonaa euroa (4,4 milj. euroa). Liikevoitto ilman kertaluonteisia kuluja oli 5,6 miljoonaa euroa (4,4 milj. euroa)</w:t>
                        </w:r>
                        <w:r>
                          <w:rPr>
                            <w:rFonts w:ascii="Arial" w:hAnsi="Arial" w:cs="Arial"/>
                            <w:color w:val="000000"/>
                            <w:sz w:val="20"/>
                            <w:szCs w:val="20"/>
                          </w:rPr>
                          <w:br/>
                          <w:t>- Atria Venäjän liiketappio oli -16,4 miljoonaa euroa (0,6 milj. euroa). Liiketappio ilman kertaluonteisia kuluja oli -0,9 miljoonaa euroa (0,6 milj. euroa)</w:t>
                        </w:r>
                        <w:r>
                          <w:rPr>
                            <w:rFonts w:ascii="Arial" w:hAnsi="Arial" w:cs="Arial"/>
                            <w:color w:val="000000"/>
                            <w:sz w:val="20"/>
                            <w:szCs w:val="20"/>
                          </w:rPr>
                          <w:br/>
                          <w:t>- Atria Baltian liiketulos oli positiivinen 0,3 miljoonaa euroa (-0,4 milj. euroa)</w:t>
                        </w:r>
                        <w:r>
                          <w:rPr>
                            <w:rFonts w:ascii="Arial" w:hAnsi="Arial" w:cs="Arial"/>
                            <w:color w:val="000000"/>
                            <w:sz w:val="22"/>
                            <w:szCs w:val="22"/>
                          </w:rPr>
                          <w:br/>
                          <w:t> </w:t>
                        </w:r>
                      </w:p>
                      <w:tbl>
                        <w:tblPr>
                          <w:tblW w:w="0" w:type="auto"/>
                          <w:tblCellSpacing w:w="0" w:type="dxa"/>
                          <w:tblCellMar>
                            <w:top w:w="45" w:type="dxa"/>
                            <w:left w:w="45" w:type="dxa"/>
                            <w:bottom w:w="45" w:type="dxa"/>
                            <w:right w:w="45" w:type="dxa"/>
                          </w:tblCellMar>
                          <w:tblLook w:val="04A0"/>
                        </w:tblPr>
                        <w:tblGrid>
                          <w:gridCol w:w="3420"/>
                          <w:gridCol w:w="1065"/>
                          <w:gridCol w:w="1080"/>
                          <w:gridCol w:w="1065"/>
                          <w:gridCol w:w="1080"/>
                          <w:gridCol w:w="1080"/>
                        </w:tblGrid>
                        <w:tr w:rsidR="00FF7E43">
                          <w:trPr>
                            <w:tblCellSpacing w:w="0" w:type="dxa"/>
                          </w:trPr>
                          <w:tc>
                            <w:tcPr>
                              <w:tcW w:w="3420" w:type="dxa"/>
                              <w:vAlign w:val="center"/>
                              <w:hideMark/>
                            </w:tcPr>
                            <w:p w:rsidR="00FF7E43" w:rsidRDefault="00FF7E43">
                              <w:pPr>
                                <w:rPr>
                                  <w:rFonts w:ascii="Arial" w:eastAsia="Times New Roman" w:hAnsi="Arial" w:cs="Arial"/>
                                  <w:sz w:val="22"/>
                                  <w:szCs w:val="22"/>
                                </w:rPr>
                              </w:pPr>
                              <w:r>
                                <w:rPr>
                                  <w:rFonts w:ascii="Arial" w:eastAsia="Times New Roman" w:hAnsi="Arial" w:cs="Arial"/>
                                  <w:sz w:val="22"/>
                                  <w:szCs w:val="22"/>
                                </w:rPr>
                                <w:lastRenderedPageBreak/>
                                <w:t> </w:t>
                              </w:r>
                            </w:p>
                          </w:tc>
                          <w:tc>
                            <w:tcPr>
                              <w:tcW w:w="1065" w:type="dxa"/>
                              <w:tcBorders>
                                <w:top w:val="nil"/>
                                <w:left w:val="nil"/>
                                <w:bottom w:val="single" w:sz="8" w:space="0" w:color="000000"/>
                                <w:right w:val="nil"/>
                              </w:tcBorders>
                              <w:vAlign w:val="center"/>
                              <w:hideMark/>
                            </w:tcPr>
                            <w:p w:rsidR="00FF7E43" w:rsidRDefault="00FF7E43">
                              <w:pPr>
                                <w:jc w:val="right"/>
                                <w:rPr>
                                  <w:rFonts w:ascii="Arial" w:eastAsia="Times New Roman" w:hAnsi="Arial" w:cs="Arial"/>
                                  <w:sz w:val="22"/>
                                  <w:szCs w:val="22"/>
                                </w:rPr>
                              </w:pPr>
                              <w:r>
                                <w:rPr>
                                  <w:rStyle w:val="Voimakas"/>
                                  <w:rFonts w:ascii="Arial" w:eastAsia="Times New Roman" w:hAnsi="Arial" w:cs="Arial"/>
                                  <w:sz w:val="20"/>
                                  <w:szCs w:val="20"/>
                                </w:rPr>
                                <w:t>Q3</w:t>
                              </w:r>
                            </w:p>
                          </w:tc>
                          <w:tc>
                            <w:tcPr>
                              <w:tcW w:w="1080" w:type="dxa"/>
                              <w:tcBorders>
                                <w:top w:val="nil"/>
                                <w:left w:val="nil"/>
                                <w:bottom w:val="single" w:sz="8" w:space="0" w:color="000000"/>
                                <w:right w:val="nil"/>
                              </w:tcBorders>
                              <w:vAlign w:val="center"/>
                              <w:hideMark/>
                            </w:tcPr>
                            <w:p w:rsidR="00FF7E43" w:rsidRDefault="00FF7E43">
                              <w:pPr>
                                <w:jc w:val="right"/>
                                <w:rPr>
                                  <w:rFonts w:ascii="Arial" w:eastAsia="Times New Roman" w:hAnsi="Arial" w:cs="Arial"/>
                                  <w:sz w:val="22"/>
                                  <w:szCs w:val="22"/>
                                </w:rPr>
                              </w:pPr>
                              <w:r>
                                <w:rPr>
                                  <w:rFonts w:ascii="Arial" w:eastAsia="Times New Roman" w:hAnsi="Arial" w:cs="Arial"/>
                                  <w:sz w:val="20"/>
                                  <w:szCs w:val="20"/>
                                </w:rPr>
                                <w:t>Q3</w:t>
                              </w:r>
                            </w:p>
                          </w:tc>
                          <w:tc>
                            <w:tcPr>
                              <w:tcW w:w="1065" w:type="dxa"/>
                              <w:tcBorders>
                                <w:top w:val="nil"/>
                                <w:left w:val="nil"/>
                                <w:bottom w:val="single" w:sz="8" w:space="0" w:color="000000"/>
                                <w:right w:val="nil"/>
                              </w:tcBorders>
                              <w:vAlign w:val="center"/>
                              <w:hideMark/>
                            </w:tcPr>
                            <w:p w:rsidR="00FF7E43" w:rsidRDefault="00FF7E43">
                              <w:pPr>
                                <w:jc w:val="right"/>
                                <w:rPr>
                                  <w:rFonts w:ascii="Arial" w:eastAsia="Times New Roman" w:hAnsi="Arial" w:cs="Arial"/>
                                  <w:sz w:val="22"/>
                                  <w:szCs w:val="22"/>
                                </w:rPr>
                              </w:pPr>
                              <w:r>
                                <w:rPr>
                                  <w:rStyle w:val="Voimakas"/>
                                  <w:rFonts w:ascii="Arial" w:eastAsia="Times New Roman" w:hAnsi="Arial" w:cs="Arial"/>
                                  <w:sz w:val="20"/>
                                  <w:szCs w:val="20"/>
                                </w:rPr>
                                <w:t>Q1-Q3</w:t>
                              </w:r>
                            </w:p>
                          </w:tc>
                          <w:tc>
                            <w:tcPr>
                              <w:tcW w:w="1080" w:type="dxa"/>
                              <w:tcBorders>
                                <w:top w:val="nil"/>
                                <w:left w:val="nil"/>
                                <w:bottom w:val="single" w:sz="8" w:space="0" w:color="000000"/>
                                <w:right w:val="nil"/>
                              </w:tcBorders>
                              <w:vAlign w:val="center"/>
                              <w:hideMark/>
                            </w:tcPr>
                            <w:p w:rsidR="00FF7E43" w:rsidRDefault="00FF7E43">
                              <w:pPr>
                                <w:jc w:val="right"/>
                                <w:rPr>
                                  <w:rFonts w:ascii="Arial" w:eastAsia="Times New Roman" w:hAnsi="Arial" w:cs="Arial"/>
                                  <w:sz w:val="22"/>
                                  <w:szCs w:val="22"/>
                                </w:rPr>
                              </w:pPr>
                              <w:r>
                                <w:rPr>
                                  <w:rFonts w:ascii="Arial" w:eastAsia="Times New Roman" w:hAnsi="Arial" w:cs="Arial"/>
                                  <w:sz w:val="20"/>
                                  <w:szCs w:val="20"/>
                                </w:rPr>
                                <w:t>Q1-Q3</w:t>
                              </w:r>
                            </w:p>
                          </w:tc>
                          <w:tc>
                            <w:tcPr>
                              <w:tcW w:w="1080" w:type="dxa"/>
                              <w:tcBorders>
                                <w:top w:val="nil"/>
                                <w:left w:val="nil"/>
                                <w:bottom w:val="single" w:sz="8" w:space="0" w:color="000000"/>
                                <w:right w:val="nil"/>
                              </w:tcBorders>
                              <w:vAlign w:val="center"/>
                              <w:hideMark/>
                            </w:tcPr>
                            <w:p w:rsidR="00FF7E43" w:rsidRDefault="00FF7E43">
                              <w:pPr>
                                <w:rPr>
                                  <w:rFonts w:ascii="Arial" w:eastAsia="Times New Roman" w:hAnsi="Arial" w:cs="Arial"/>
                                  <w:sz w:val="22"/>
                                  <w:szCs w:val="22"/>
                                </w:rPr>
                              </w:pPr>
                              <w:r>
                                <w:rPr>
                                  <w:rFonts w:ascii="Arial" w:eastAsia="Times New Roman" w:hAnsi="Arial" w:cs="Arial"/>
                                  <w:sz w:val="22"/>
                                  <w:szCs w:val="22"/>
                                </w:rPr>
                                <w:t> </w:t>
                              </w:r>
                            </w:p>
                          </w:tc>
                        </w:tr>
                        <w:tr w:rsidR="00FF7E43">
                          <w:trPr>
                            <w:tblCellSpacing w:w="0" w:type="dxa"/>
                          </w:trPr>
                          <w:tc>
                            <w:tcPr>
                              <w:tcW w:w="3420" w:type="dxa"/>
                              <w:tcBorders>
                                <w:top w:val="nil"/>
                                <w:left w:val="nil"/>
                                <w:bottom w:val="single" w:sz="8" w:space="0" w:color="000000"/>
                                <w:right w:val="nil"/>
                              </w:tcBorders>
                              <w:vAlign w:val="center"/>
                              <w:hideMark/>
                            </w:tcPr>
                            <w:p w:rsidR="00FF7E43" w:rsidRDefault="00FF7E43">
                              <w:pPr>
                                <w:rPr>
                                  <w:rFonts w:ascii="Arial" w:eastAsia="Times New Roman" w:hAnsi="Arial" w:cs="Arial"/>
                                  <w:sz w:val="22"/>
                                  <w:szCs w:val="22"/>
                                </w:rPr>
                              </w:pPr>
                              <w:r>
                                <w:rPr>
                                  <w:rFonts w:ascii="Arial" w:eastAsia="Times New Roman" w:hAnsi="Arial" w:cs="Arial"/>
                                  <w:sz w:val="20"/>
                                  <w:szCs w:val="20"/>
                                </w:rPr>
                                <w:t>Milj. €</w:t>
                              </w:r>
                            </w:p>
                          </w:tc>
                          <w:tc>
                            <w:tcPr>
                              <w:tcW w:w="1065" w:type="dxa"/>
                              <w:tcBorders>
                                <w:top w:val="nil"/>
                                <w:left w:val="nil"/>
                                <w:bottom w:val="single" w:sz="8" w:space="0" w:color="000000"/>
                                <w:right w:val="nil"/>
                              </w:tcBorders>
                              <w:noWrap/>
                              <w:vAlign w:val="center"/>
                              <w:hideMark/>
                            </w:tcPr>
                            <w:p w:rsidR="00FF7E43" w:rsidRDefault="00FF7E43">
                              <w:pPr>
                                <w:jc w:val="right"/>
                                <w:rPr>
                                  <w:rFonts w:ascii="Arial" w:eastAsia="Times New Roman" w:hAnsi="Arial" w:cs="Arial"/>
                                  <w:sz w:val="22"/>
                                  <w:szCs w:val="22"/>
                                </w:rPr>
                              </w:pPr>
                              <w:r>
                                <w:rPr>
                                  <w:rStyle w:val="Voimakas"/>
                                  <w:rFonts w:ascii="Arial" w:eastAsia="Times New Roman" w:hAnsi="Arial" w:cs="Arial"/>
                                  <w:sz w:val="20"/>
                                  <w:szCs w:val="20"/>
                                </w:rPr>
                                <w:t>2013</w:t>
                              </w:r>
                            </w:p>
                          </w:tc>
                          <w:tc>
                            <w:tcPr>
                              <w:tcW w:w="1080" w:type="dxa"/>
                              <w:tcBorders>
                                <w:top w:val="nil"/>
                                <w:left w:val="nil"/>
                                <w:bottom w:val="single" w:sz="8" w:space="0" w:color="000000"/>
                                <w:right w:val="nil"/>
                              </w:tcBorders>
                              <w:noWrap/>
                              <w:vAlign w:val="center"/>
                              <w:hideMark/>
                            </w:tcPr>
                            <w:p w:rsidR="00FF7E43" w:rsidRDefault="00FF7E43">
                              <w:pPr>
                                <w:jc w:val="right"/>
                                <w:rPr>
                                  <w:rFonts w:ascii="Arial" w:eastAsia="Times New Roman" w:hAnsi="Arial" w:cs="Arial"/>
                                  <w:sz w:val="22"/>
                                  <w:szCs w:val="22"/>
                                </w:rPr>
                              </w:pPr>
                              <w:r>
                                <w:rPr>
                                  <w:rFonts w:ascii="Arial" w:eastAsia="Times New Roman" w:hAnsi="Arial" w:cs="Arial"/>
                                  <w:sz w:val="20"/>
                                  <w:szCs w:val="20"/>
                                </w:rPr>
                                <w:t>2012</w:t>
                              </w:r>
                            </w:p>
                          </w:tc>
                          <w:tc>
                            <w:tcPr>
                              <w:tcW w:w="1065" w:type="dxa"/>
                              <w:tcBorders>
                                <w:top w:val="nil"/>
                                <w:left w:val="nil"/>
                                <w:bottom w:val="single" w:sz="8" w:space="0" w:color="000000"/>
                                <w:right w:val="nil"/>
                              </w:tcBorders>
                              <w:noWrap/>
                              <w:vAlign w:val="center"/>
                              <w:hideMark/>
                            </w:tcPr>
                            <w:p w:rsidR="00FF7E43" w:rsidRDefault="00FF7E43">
                              <w:pPr>
                                <w:jc w:val="right"/>
                                <w:rPr>
                                  <w:rFonts w:ascii="Arial" w:eastAsia="Times New Roman" w:hAnsi="Arial" w:cs="Arial"/>
                                  <w:sz w:val="22"/>
                                  <w:szCs w:val="22"/>
                                </w:rPr>
                              </w:pPr>
                              <w:r>
                                <w:rPr>
                                  <w:rStyle w:val="Voimakas"/>
                                  <w:rFonts w:ascii="Arial" w:eastAsia="Times New Roman" w:hAnsi="Arial" w:cs="Arial"/>
                                  <w:sz w:val="20"/>
                                  <w:szCs w:val="20"/>
                                </w:rPr>
                                <w:t>2013</w:t>
                              </w:r>
                            </w:p>
                          </w:tc>
                          <w:tc>
                            <w:tcPr>
                              <w:tcW w:w="1080" w:type="dxa"/>
                              <w:tcBorders>
                                <w:top w:val="nil"/>
                                <w:left w:val="nil"/>
                                <w:bottom w:val="single" w:sz="8" w:space="0" w:color="000000"/>
                                <w:right w:val="nil"/>
                              </w:tcBorders>
                              <w:noWrap/>
                              <w:vAlign w:val="center"/>
                              <w:hideMark/>
                            </w:tcPr>
                            <w:p w:rsidR="00FF7E43" w:rsidRDefault="00FF7E43">
                              <w:pPr>
                                <w:jc w:val="right"/>
                                <w:rPr>
                                  <w:rFonts w:ascii="Arial" w:eastAsia="Times New Roman" w:hAnsi="Arial" w:cs="Arial"/>
                                  <w:sz w:val="22"/>
                                  <w:szCs w:val="22"/>
                                </w:rPr>
                              </w:pPr>
                              <w:r>
                                <w:rPr>
                                  <w:rFonts w:ascii="Arial" w:eastAsia="Times New Roman" w:hAnsi="Arial" w:cs="Arial"/>
                                  <w:sz w:val="20"/>
                                  <w:szCs w:val="20"/>
                                </w:rPr>
                                <w:t>2012</w:t>
                              </w:r>
                            </w:p>
                          </w:tc>
                          <w:tc>
                            <w:tcPr>
                              <w:tcW w:w="1080" w:type="dxa"/>
                              <w:tcBorders>
                                <w:top w:val="nil"/>
                                <w:left w:val="nil"/>
                                <w:bottom w:val="single" w:sz="8" w:space="0" w:color="000000"/>
                                <w:right w:val="nil"/>
                              </w:tcBorders>
                              <w:noWrap/>
                              <w:vAlign w:val="center"/>
                              <w:hideMark/>
                            </w:tcPr>
                            <w:p w:rsidR="00FF7E43" w:rsidRDefault="00FF7E43">
                              <w:pPr>
                                <w:jc w:val="right"/>
                                <w:rPr>
                                  <w:rFonts w:ascii="Arial" w:eastAsia="Times New Roman" w:hAnsi="Arial" w:cs="Arial"/>
                                  <w:sz w:val="22"/>
                                  <w:szCs w:val="22"/>
                                </w:rPr>
                              </w:pPr>
                              <w:r>
                                <w:rPr>
                                  <w:rFonts w:ascii="Arial" w:eastAsia="Times New Roman" w:hAnsi="Arial" w:cs="Arial"/>
                                  <w:sz w:val="20"/>
                                  <w:szCs w:val="20"/>
                                </w:rPr>
                                <w:t>2012</w:t>
                              </w:r>
                            </w:p>
                          </w:tc>
                        </w:tr>
                        <w:tr w:rsidR="00FF7E43">
                          <w:trPr>
                            <w:tblCellSpacing w:w="0" w:type="dxa"/>
                          </w:trPr>
                          <w:tc>
                            <w:tcPr>
                              <w:tcW w:w="3420" w:type="dxa"/>
                              <w:vAlign w:val="center"/>
                              <w:hideMark/>
                            </w:tcPr>
                            <w:p w:rsidR="00FF7E43" w:rsidRDefault="00FF7E43">
                              <w:pPr>
                                <w:rPr>
                                  <w:rFonts w:ascii="Arial" w:eastAsia="Times New Roman" w:hAnsi="Arial" w:cs="Arial"/>
                                  <w:sz w:val="22"/>
                                  <w:szCs w:val="22"/>
                                </w:rPr>
                              </w:pPr>
                              <w:r>
                                <w:rPr>
                                  <w:rFonts w:ascii="Arial" w:eastAsia="Times New Roman" w:hAnsi="Arial" w:cs="Arial"/>
                                  <w:sz w:val="20"/>
                                  <w:szCs w:val="20"/>
                                </w:rPr>
                                <w:t>Liikevaihto</w:t>
                              </w:r>
                            </w:p>
                          </w:tc>
                          <w:tc>
                            <w:tcPr>
                              <w:tcW w:w="1065" w:type="dxa"/>
                              <w:noWrap/>
                              <w:vAlign w:val="center"/>
                              <w:hideMark/>
                            </w:tcPr>
                            <w:p w:rsidR="00FF7E43" w:rsidRDefault="00FF7E43">
                              <w:pPr>
                                <w:jc w:val="right"/>
                                <w:rPr>
                                  <w:rFonts w:ascii="Arial" w:eastAsia="Times New Roman" w:hAnsi="Arial" w:cs="Arial"/>
                                  <w:sz w:val="22"/>
                                  <w:szCs w:val="22"/>
                                </w:rPr>
                              </w:pPr>
                              <w:r>
                                <w:rPr>
                                  <w:rStyle w:val="Voimakas"/>
                                  <w:rFonts w:ascii="Arial" w:eastAsia="Times New Roman" w:hAnsi="Arial" w:cs="Arial"/>
                                  <w:sz w:val="20"/>
                                  <w:szCs w:val="20"/>
                                </w:rPr>
                                <w:t>358,4</w:t>
                              </w:r>
                            </w:p>
                          </w:tc>
                          <w:tc>
                            <w:tcPr>
                              <w:tcW w:w="1080" w:type="dxa"/>
                              <w:noWrap/>
                              <w:vAlign w:val="center"/>
                              <w:hideMark/>
                            </w:tcPr>
                            <w:p w:rsidR="00FF7E43" w:rsidRDefault="00FF7E43">
                              <w:pPr>
                                <w:jc w:val="right"/>
                                <w:rPr>
                                  <w:rFonts w:ascii="Arial" w:eastAsia="Times New Roman" w:hAnsi="Arial" w:cs="Arial"/>
                                  <w:sz w:val="22"/>
                                  <w:szCs w:val="22"/>
                                </w:rPr>
                              </w:pPr>
                              <w:r>
                                <w:rPr>
                                  <w:rFonts w:ascii="Arial" w:eastAsia="Times New Roman" w:hAnsi="Arial" w:cs="Arial"/>
                                  <w:sz w:val="20"/>
                                  <w:szCs w:val="20"/>
                                </w:rPr>
                                <w:t>341,1</w:t>
                              </w:r>
                            </w:p>
                          </w:tc>
                          <w:tc>
                            <w:tcPr>
                              <w:tcW w:w="1065" w:type="dxa"/>
                              <w:vAlign w:val="center"/>
                              <w:hideMark/>
                            </w:tcPr>
                            <w:p w:rsidR="00FF7E43" w:rsidRDefault="00FF7E43">
                              <w:pPr>
                                <w:jc w:val="right"/>
                                <w:rPr>
                                  <w:rFonts w:ascii="Arial" w:eastAsia="Times New Roman" w:hAnsi="Arial" w:cs="Arial"/>
                                  <w:sz w:val="22"/>
                                  <w:szCs w:val="22"/>
                                </w:rPr>
                              </w:pPr>
                              <w:r>
                                <w:rPr>
                                  <w:rStyle w:val="Voimakas"/>
                                  <w:rFonts w:ascii="Arial" w:eastAsia="Times New Roman" w:hAnsi="Arial" w:cs="Arial"/>
                                  <w:sz w:val="20"/>
                                  <w:szCs w:val="20"/>
                                </w:rPr>
                                <w:t>1 050,4</w:t>
                              </w:r>
                            </w:p>
                          </w:tc>
                          <w:tc>
                            <w:tcPr>
                              <w:tcW w:w="1080" w:type="dxa"/>
                              <w:noWrap/>
                              <w:vAlign w:val="center"/>
                              <w:hideMark/>
                            </w:tcPr>
                            <w:p w:rsidR="00FF7E43" w:rsidRDefault="00FF7E43">
                              <w:pPr>
                                <w:jc w:val="right"/>
                                <w:rPr>
                                  <w:rFonts w:ascii="Arial" w:eastAsia="Times New Roman" w:hAnsi="Arial" w:cs="Arial"/>
                                  <w:sz w:val="22"/>
                                  <w:szCs w:val="22"/>
                                </w:rPr>
                              </w:pPr>
                              <w:r>
                                <w:rPr>
                                  <w:rFonts w:ascii="Arial" w:eastAsia="Times New Roman" w:hAnsi="Arial" w:cs="Arial"/>
                                  <w:sz w:val="20"/>
                                  <w:szCs w:val="20"/>
                                </w:rPr>
                                <w:t>982,9</w:t>
                              </w:r>
                            </w:p>
                          </w:tc>
                          <w:tc>
                            <w:tcPr>
                              <w:tcW w:w="1080" w:type="dxa"/>
                              <w:noWrap/>
                              <w:vAlign w:val="center"/>
                              <w:hideMark/>
                            </w:tcPr>
                            <w:p w:rsidR="00FF7E43" w:rsidRDefault="00FF7E43">
                              <w:pPr>
                                <w:jc w:val="right"/>
                                <w:rPr>
                                  <w:rFonts w:ascii="Arial" w:eastAsia="Times New Roman" w:hAnsi="Arial" w:cs="Arial"/>
                                  <w:sz w:val="22"/>
                                  <w:szCs w:val="22"/>
                                </w:rPr>
                              </w:pPr>
                              <w:r>
                                <w:rPr>
                                  <w:rFonts w:ascii="Arial" w:eastAsia="Times New Roman" w:hAnsi="Arial" w:cs="Arial"/>
                                  <w:sz w:val="20"/>
                                  <w:szCs w:val="20"/>
                                </w:rPr>
                                <w:t>1 343,6</w:t>
                              </w:r>
                            </w:p>
                          </w:tc>
                        </w:tr>
                        <w:tr w:rsidR="00FF7E43">
                          <w:trPr>
                            <w:tblCellSpacing w:w="0" w:type="dxa"/>
                          </w:trPr>
                          <w:tc>
                            <w:tcPr>
                              <w:tcW w:w="3420" w:type="dxa"/>
                              <w:vAlign w:val="center"/>
                              <w:hideMark/>
                            </w:tcPr>
                            <w:p w:rsidR="00FF7E43" w:rsidRDefault="00FF7E43">
                              <w:pPr>
                                <w:rPr>
                                  <w:rFonts w:ascii="Arial" w:eastAsia="Times New Roman" w:hAnsi="Arial" w:cs="Arial"/>
                                  <w:sz w:val="22"/>
                                  <w:szCs w:val="22"/>
                                </w:rPr>
                              </w:pPr>
                              <w:r>
                                <w:rPr>
                                  <w:rFonts w:ascii="Arial" w:eastAsia="Times New Roman" w:hAnsi="Arial" w:cs="Arial"/>
                                  <w:sz w:val="20"/>
                                  <w:szCs w:val="20"/>
                                </w:rPr>
                                <w:t>Liikevoitto</w:t>
                              </w:r>
                            </w:p>
                          </w:tc>
                          <w:tc>
                            <w:tcPr>
                              <w:tcW w:w="1065" w:type="dxa"/>
                              <w:noWrap/>
                              <w:vAlign w:val="center"/>
                              <w:hideMark/>
                            </w:tcPr>
                            <w:p w:rsidR="00FF7E43" w:rsidRDefault="00FF7E43">
                              <w:pPr>
                                <w:jc w:val="right"/>
                                <w:rPr>
                                  <w:rFonts w:ascii="Arial" w:eastAsia="Times New Roman" w:hAnsi="Arial" w:cs="Arial"/>
                                  <w:sz w:val="22"/>
                                  <w:szCs w:val="22"/>
                                </w:rPr>
                              </w:pPr>
                              <w:r>
                                <w:rPr>
                                  <w:rStyle w:val="Voimakas"/>
                                  <w:rFonts w:ascii="Arial" w:eastAsia="Times New Roman" w:hAnsi="Arial" w:cs="Arial"/>
                                  <w:sz w:val="20"/>
                                  <w:szCs w:val="20"/>
                                </w:rPr>
                                <w:t>-1,8</w:t>
                              </w:r>
                            </w:p>
                          </w:tc>
                          <w:tc>
                            <w:tcPr>
                              <w:tcW w:w="1080" w:type="dxa"/>
                              <w:noWrap/>
                              <w:vAlign w:val="center"/>
                              <w:hideMark/>
                            </w:tcPr>
                            <w:p w:rsidR="00FF7E43" w:rsidRDefault="00FF7E43">
                              <w:pPr>
                                <w:jc w:val="right"/>
                                <w:rPr>
                                  <w:rFonts w:ascii="Arial" w:eastAsia="Times New Roman" w:hAnsi="Arial" w:cs="Arial"/>
                                  <w:sz w:val="22"/>
                                  <w:szCs w:val="22"/>
                                </w:rPr>
                              </w:pPr>
                              <w:r>
                                <w:rPr>
                                  <w:rFonts w:ascii="Arial" w:eastAsia="Times New Roman" w:hAnsi="Arial" w:cs="Arial"/>
                                  <w:sz w:val="20"/>
                                  <w:szCs w:val="20"/>
                                </w:rPr>
                                <w:t>16,6</w:t>
                              </w:r>
                            </w:p>
                          </w:tc>
                          <w:tc>
                            <w:tcPr>
                              <w:tcW w:w="1065" w:type="dxa"/>
                              <w:noWrap/>
                              <w:vAlign w:val="center"/>
                              <w:hideMark/>
                            </w:tcPr>
                            <w:p w:rsidR="00FF7E43" w:rsidRDefault="00FF7E43">
                              <w:pPr>
                                <w:jc w:val="right"/>
                                <w:rPr>
                                  <w:rFonts w:ascii="Arial" w:eastAsia="Times New Roman" w:hAnsi="Arial" w:cs="Arial"/>
                                  <w:sz w:val="22"/>
                                  <w:szCs w:val="22"/>
                                </w:rPr>
                              </w:pPr>
                              <w:r>
                                <w:rPr>
                                  <w:rStyle w:val="Voimakas"/>
                                  <w:rFonts w:ascii="Arial" w:eastAsia="Times New Roman" w:hAnsi="Arial" w:cs="Arial"/>
                                  <w:sz w:val="20"/>
                                  <w:szCs w:val="20"/>
                                </w:rPr>
                                <w:t>9,1</w:t>
                              </w:r>
                            </w:p>
                          </w:tc>
                          <w:tc>
                            <w:tcPr>
                              <w:tcW w:w="1080" w:type="dxa"/>
                              <w:noWrap/>
                              <w:vAlign w:val="center"/>
                              <w:hideMark/>
                            </w:tcPr>
                            <w:p w:rsidR="00FF7E43" w:rsidRDefault="00FF7E43">
                              <w:pPr>
                                <w:jc w:val="right"/>
                                <w:rPr>
                                  <w:rFonts w:ascii="Arial" w:eastAsia="Times New Roman" w:hAnsi="Arial" w:cs="Arial"/>
                                  <w:sz w:val="22"/>
                                  <w:szCs w:val="22"/>
                                </w:rPr>
                              </w:pPr>
                              <w:r>
                                <w:rPr>
                                  <w:rFonts w:ascii="Arial" w:eastAsia="Times New Roman" w:hAnsi="Arial" w:cs="Arial"/>
                                  <w:sz w:val="20"/>
                                  <w:szCs w:val="20"/>
                                </w:rPr>
                                <w:t>22,4</w:t>
                              </w:r>
                            </w:p>
                          </w:tc>
                          <w:tc>
                            <w:tcPr>
                              <w:tcW w:w="1080" w:type="dxa"/>
                              <w:noWrap/>
                              <w:vAlign w:val="center"/>
                              <w:hideMark/>
                            </w:tcPr>
                            <w:p w:rsidR="00FF7E43" w:rsidRDefault="00FF7E43">
                              <w:pPr>
                                <w:jc w:val="right"/>
                                <w:rPr>
                                  <w:rFonts w:ascii="Arial" w:eastAsia="Times New Roman" w:hAnsi="Arial" w:cs="Arial"/>
                                  <w:sz w:val="22"/>
                                  <w:szCs w:val="22"/>
                                </w:rPr>
                              </w:pPr>
                              <w:r>
                                <w:rPr>
                                  <w:rFonts w:ascii="Arial" w:eastAsia="Times New Roman" w:hAnsi="Arial" w:cs="Arial"/>
                                  <w:sz w:val="20"/>
                                  <w:szCs w:val="20"/>
                                </w:rPr>
                                <w:t>30,2</w:t>
                              </w:r>
                            </w:p>
                          </w:tc>
                        </w:tr>
                        <w:tr w:rsidR="00FF7E43">
                          <w:trPr>
                            <w:tblCellSpacing w:w="0" w:type="dxa"/>
                          </w:trPr>
                          <w:tc>
                            <w:tcPr>
                              <w:tcW w:w="3420" w:type="dxa"/>
                              <w:vAlign w:val="center"/>
                              <w:hideMark/>
                            </w:tcPr>
                            <w:p w:rsidR="00FF7E43" w:rsidRDefault="00FF7E43">
                              <w:pPr>
                                <w:rPr>
                                  <w:rFonts w:ascii="Arial" w:eastAsia="Times New Roman" w:hAnsi="Arial" w:cs="Arial"/>
                                  <w:sz w:val="22"/>
                                  <w:szCs w:val="22"/>
                                </w:rPr>
                              </w:pPr>
                              <w:r>
                                <w:rPr>
                                  <w:rFonts w:ascii="Arial" w:eastAsia="Times New Roman" w:hAnsi="Arial" w:cs="Arial"/>
                                  <w:sz w:val="20"/>
                                  <w:szCs w:val="20"/>
                                </w:rPr>
                                <w:t>Liikevoitto %</w:t>
                              </w:r>
                            </w:p>
                          </w:tc>
                          <w:tc>
                            <w:tcPr>
                              <w:tcW w:w="1065" w:type="dxa"/>
                              <w:noWrap/>
                              <w:vAlign w:val="center"/>
                              <w:hideMark/>
                            </w:tcPr>
                            <w:p w:rsidR="00FF7E43" w:rsidRDefault="00FF7E43">
                              <w:pPr>
                                <w:jc w:val="right"/>
                                <w:rPr>
                                  <w:rFonts w:ascii="Arial" w:eastAsia="Times New Roman" w:hAnsi="Arial" w:cs="Arial"/>
                                  <w:sz w:val="22"/>
                                  <w:szCs w:val="22"/>
                                </w:rPr>
                              </w:pPr>
                              <w:r>
                                <w:rPr>
                                  <w:rStyle w:val="Voimakas"/>
                                  <w:rFonts w:ascii="Arial" w:eastAsia="Times New Roman" w:hAnsi="Arial" w:cs="Arial"/>
                                  <w:sz w:val="20"/>
                                  <w:szCs w:val="20"/>
                                </w:rPr>
                                <w:t>-0,5</w:t>
                              </w:r>
                            </w:p>
                          </w:tc>
                          <w:tc>
                            <w:tcPr>
                              <w:tcW w:w="1080" w:type="dxa"/>
                              <w:noWrap/>
                              <w:vAlign w:val="center"/>
                              <w:hideMark/>
                            </w:tcPr>
                            <w:p w:rsidR="00FF7E43" w:rsidRDefault="00FF7E43">
                              <w:pPr>
                                <w:jc w:val="right"/>
                                <w:rPr>
                                  <w:rFonts w:ascii="Arial" w:eastAsia="Times New Roman" w:hAnsi="Arial" w:cs="Arial"/>
                                  <w:sz w:val="22"/>
                                  <w:szCs w:val="22"/>
                                </w:rPr>
                              </w:pPr>
                              <w:r>
                                <w:rPr>
                                  <w:rFonts w:ascii="Arial" w:eastAsia="Times New Roman" w:hAnsi="Arial" w:cs="Arial"/>
                                  <w:sz w:val="20"/>
                                  <w:szCs w:val="20"/>
                                </w:rPr>
                                <w:t>4,9</w:t>
                              </w:r>
                            </w:p>
                          </w:tc>
                          <w:tc>
                            <w:tcPr>
                              <w:tcW w:w="1065" w:type="dxa"/>
                              <w:noWrap/>
                              <w:vAlign w:val="center"/>
                              <w:hideMark/>
                            </w:tcPr>
                            <w:p w:rsidR="00FF7E43" w:rsidRDefault="00FF7E43">
                              <w:pPr>
                                <w:jc w:val="right"/>
                                <w:rPr>
                                  <w:rFonts w:ascii="Arial" w:eastAsia="Times New Roman" w:hAnsi="Arial" w:cs="Arial"/>
                                  <w:sz w:val="22"/>
                                  <w:szCs w:val="22"/>
                                </w:rPr>
                              </w:pPr>
                              <w:r>
                                <w:rPr>
                                  <w:rStyle w:val="Voimakas"/>
                                  <w:rFonts w:ascii="Arial" w:eastAsia="Times New Roman" w:hAnsi="Arial" w:cs="Arial"/>
                                  <w:sz w:val="20"/>
                                  <w:szCs w:val="20"/>
                                </w:rPr>
                                <w:t>0,9</w:t>
                              </w:r>
                            </w:p>
                          </w:tc>
                          <w:tc>
                            <w:tcPr>
                              <w:tcW w:w="1080" w:type="dxa"/>
                              <w:noWrap/>
                              <w:vAlign w:val="center"/>
                              <w:hideMark/>
                            </w:tcPr>
                            <w:p w:rsidR="00FF7E43" w:rsidRDefault="00FF7E43">
                              <w:pPr>
                                <w:jc w:val="right"/>
                                <w:rPr>
                                  <w:rFonts w:ascii="Arial" w:eastAsia="Times New Roman" w:hAnsi="Arial" w:cs="Arial"/>
                                  <w:sz w:val="22"/>
                                  <w:szCs w:val="22"/>
                                </w:rPr>
                              </w:pPr>
                              <w:r>
                                <w:rPr>
                                  <w:rFonts w:ascii="Arial" w:eastAsia="Times New Roman" w:hAnsi="Arial" w:cs="Arial"/>
                                  <w:sz w:val="20"/>
                                  <w:szCs w:val="20"/>
                                </w:rPr>
                                <w:t>2,3</w:t>
                              </w:r>
                            </w:p>
                          </w:tc>
                          <w:tc>
                            <w:tcPr>
                              <w:tcW w:w="1080" w:type="dxa"/>
                              <w:noWrap/>
                              <w:vAlign w:val="center"/>
                              <w:hideMark/>
                            </w:tcPr>
                            <w:p w:rsidR="00FF7E43" w:rsidRDefault="00FF7E43">
                              <w:pPr>
                                <w:jc w:val="right"/>
                                <w:rPr>
                                  <w:rFonts w:ascii="Arial" w:eastAsia="Times New Roman" w:hAnsi="Arial" w:cs="Arial"/>
                                  <w:sz w:val="22"/>
                                  <w:szCs w:val="22"/>
                                </w:rPr>
                              </w:pPr>
                              <w:r>
                                <w:rPr>
                                  <w:rFonts w:ascii="Arial" w:eastAsia="Times New Roman" w:hAnsi="Arial" w:cs="Arial"/>
                                  <w:sz w:val="20"/>
                                  <w:szCs w:val="20"/>
                                </w:rPr>
                                <w:t>2,2</w:t>
                              </w:r>
                            </w:p>
                          </w:tc>
                        </w:tr>
                        <w:tr w:rsidR="00FF7E43">
                          <w:trPr>
                            <w:tblCellSpacing w:w="0" w:type="dxa"/>
                          </w:trPr>
                          <w:tc>
                            <w:tcPr>
                              <w:tcW w:w="3420" w:type="dxa"/>
                              <w:vAlign w:val="center"/>
                              <w:hideMark/>
                            </w:tcPr>
                            <w:p w:rsidR="00FF7E43" w:rsidRDefault="00FF7E43">
                              <w:pPr>
                                <w:rPr>
                                  <w:rFonts w:ascii="Arial" w:eastAsia="Times New Roman" w:hAnsi="Arial" w:cs="Arial"/>
                                  <w:sz w:val="22"/>
                                  <w:szCs w:val="22"/>
                                </w:rPr>
                              </w:pPr>
                              <w:r>
                                <w:rPr>
                                  <w:rFonts w:ascii="Arial" w:eastAsia="Times New Roman" w:hAnsi="Arial" w:cs="Arial"/>
                                  <w:sz w:val="20"/>
                                  <w:szCs w:val="20"/>
                                </w:rPr>
                                <w:t>Voitto ennen veroja</w:t>
                              </w:r>
                            </w:p>
                          </w:tc>
                          <w:tc>
                            <w:tcPr>
                              <w:tcW w:w="1065" w:type="dxa"/>
                              <w:noWrap/>
                              <w:vAlign w:val="center"/>
                              <w:hideMark/>
                            </w:tcPr>
                            <w:p w:rsidR="00FF7E43" w:rsidRDefault="00FF7E43">
                              <w:pPr>
                                <w:jc w:val="right"/>
                                <w:rPr>
                                  <w:rFonts w:ascii="Arial" w:eastAsia="Times New Roman" w:hAnsi="Arial" w:cs="Arial"/>
                                  <w:sz w:val="22"/>
                                  <w:szCs w:val="22"/>
                                </w:rPr>
                              </w:pPr>
                              <w:r>
                                <w:rPr>
                                  <w:rStyle w:val="Voimakas"/>
                                  <w:rFonts w:ascii="Arial" w:eastAsia="Times New Roman" w:hAnsi="Arial" w:cs="Arial"/>
                                  <w:sz w:val="20"/>
                                  <w:szCs w:val="20"/>
                                </w:rPr>
                                <w:t>-5,0</w:t>
                              </w:r>
                            </w:p>
                          </w:tc>
                          <w:tc>
                            <w:tcPr>
                              <w:tcW w:w="1080" w:type="dxa"/>
                              <w:noWrap/>
                              <w:vAlign w:val="center"/>
                              <w:hideMark/>
                            </w:tcPr>
                            <w:p w:rsidR="00FF7E43" w:rsidRDefault="00FF7E43">
                              <w:pPr>
                                <w:jc w:val="right"/>
                                <w:rPr>
                                  <w:rFonts w:ascii="Arial" w:eastAsia="Times New Roman" w:hAnsi="Arial" w:cs="Arial"/>
                                  <w:sz w:val="22"/>
                                  <w:szCs w:val="22"/>
                                </w:rPr>
                              </w:pPr>
                              <w:r>
                                <w:rPr>
                                  <w:rFonts w:ascii="Arial" w:eastAsia="Times New Roman" w:hAnsi="Arial" w:cs="Arial"/>
                                  <w:sz w:val="20"/>
                                  <w:szCs w:val="20"/>
                                </w:rPr>
                                <w:t>13,1</w:t>
                              </w:r>
                            </w:p>
                          </w:tc>
                          <w:tc>
                            <w:tcPr>
                              <w:tcW w:w="1065" w:type="dxa"/>
                              <w:noWrap/>
                              <w:vAlign w:val="center"/>
                              <w:hideMark/>
                            </w:tcPr>
                            <w:p w:rsidR="00FF7E43" w:rsidRDefault="00FF7E43">
                              <w:pPr>
                                <w:jc w:val="right"/>
                                <w:rPr>
                                  <w:rFonts w:ascii="Arial" w:eastAsia="Times New Roman" w:hAnsi="Arial" w:cs="Arial"/>
                                  <w:sz w:val="22"/>
                                  <w:szCs w:val="22"/>
                                </w:rPr>
                              </w:pPr>
                              <w:r>
                                <w:rPr>
                                  <w:rStyle w:val="Voimakas"/>
                                  <w:rFonts w:ascii="Arial" w:eastAsia="Times New Roman" w:hAnsi="Arial" w:cs="Arial"/>
                                  <w:sz w:val="20"/>
                                  <w:szCs w:val="20"/>
                                </w:rPr>
                                <w:t>-0,2</w:t>
                              </w:r>
                            </w:p>
                          </w:tc>
                          <w:tc>
                            <w:tcPr>
                              <w:tcW w:w="1080" w:type="dxa"/>
                              <w:noWrap/>
                              <w:vAlign w:val="center"/>
                              <w:hideMark/>
                            </w:tcPr>
                            <w:p w:rsidR="00FF7E43" w:rsidRDefault="00FF7E43">
                              <w:pPr>
                                <w:jc w:val="right"/>
                                <w:rPr>
                                  <w:rFonts w:ascii="Arial" w:eastAsia="Times New Roman" w:hAnsi="Arial" w:cs="Arial"/>
                                  <w:sz w:val="22"/>
                                  <w:szCs w:val="22"/>
                                </w:rPr>
                              </w:pPr>
                              <w:r>
                                <w:rPr>
                                  <w:rFonts w:ascii="Arial" w:eastAsia="Times New Roman" w:hAnsi="Arial" w:cs="Arial"/>
                                  <w:sz w:val="20"/>
                                  <w:szCs w:val="20"/>
                                </w:rPr>
                                <w:t>12,9</w:t>
                              </w:r>
                            </w:p>
                          </w:tc>
                          <w:tc>
                            <w:tcPr>
                              <w:tcW w:w="1080" w:type="dxa"/>
                              <w:noWrap/>
                              <w:vAlign w:val="center"/>
                              <w:hideMark/>
                            </w:tcPr>
                            <w:p w:rsidR="00FF7E43" w:rsidRDefault="00FF7E43">
                              <w:pPr>
                                <w:jc w:val="right"/>
                                <w:rPr>
                                  <w:rFonts w:ascii="Arial" w:eastAsia="Times New Roman" w:hAnsi="Arial" w:cs="Arial"/>
                                  <w:sz w:val="22"/>
                                  <w:szCs w:val="22"/>
                                </w:rPr>
                              </w:pPr>
                              <w:r>
                                <w:rPr>
                                  <w:rFonts w:ascii="Arial" w:eastAsia="Times New Roman" w:hAnsi="Arial" w:cs="Arial"/>
                                  <w:sz w:val="20"/>
                                  <w:szCs w:val="20"/>
                                </w:rPr>
                                <w:t>18,9</w:t>
                              </w:r>
                            </w:p>
                          </w:tc>
                        </w:tr>
                        <w:tr w:rsidR="00FF7E43">
                          <w:trPr>
                            <w:tblCellSpacing w:w="0" w:type="dxa"/>
                          </w:trPr>
                          <w:tc>
                            <w:tcPr>
                              <w:tcW w:w="3420" w:type="dxa"/>
                              <w:vAlign w:val="center"/>
                              <w:hideMark/>
                            </w:tcPr>
                            <w:p w:rsidR="00FF7E43" w:rsidRDefault="00FF7E43">
                              <w:pPr>
                                <w:rPr>
                                  <w:rFonts w:ascii="Arial" w:eastAsia="Times New Roman" w:hAnsi="Arial" w:cs="Arial"/>
                                  <w:sz w:val="22"/>
                                  <w:szCs w:val="22"/>
                                </w:rPr>
                              </w:pPr>
                              <w:r>
                                <w:rPr>
                                  <w:rFonts w:ascii="Arial" w:eastAsia="Times New Roman" w:hAnsi="Arial" w:cs="Arial"/>
                                  <w:sz w:val="20"/>
                                  <w:szCs w:val="20"/>
                                </w:rPr>
                                <w:t>Osakekohtainen tulos, €</w:t>
                              </w:r>
                            </w:p>
                          </w:tc>
                          <w:tc>
                            <w:tcPr>
                              <w:tcW w:w="1065" w:type="dxa"/>
                              <w:noWrap/>
                              <w:vAlign w:val="center"/>
                              <w:hideMark/>
                            </w:tcPr>
                            <w:p w:rsidR="00FF7E43" w:rsidRDefault="00FF7E43">
                              <w:pPr>
                                <w:jc w:val="right"/>
                                <w:rPr>
                                  <w:rFonts w:ascii="Arial" w:eastAsia="Times New Roman" w:hAnsi="Arial" w:cs="Arial"/>
                                  <w:sz w:val="22"/>
                                  <w:szCs w:val="22"/>
                                </w:rPr>
                              </w:pPr>
                              <w:r>
                                <w:rPr>
                                  <w:rStyle w:val="Voimakas"/>
                                  <w:rFonts w:ascii="Arial" w:eastAsia="Times New Roman" w:hAnsi="Arial" w:cs="Arial"/>
                                  <w:sz w:val="20"/>
                                  <w:szCs w:val="20"/>
                                </w:rPr>
                                <w:t>-0,54</w:t>
                              </w:r>
                            </w:p>
                          </w:tc>
                          <w:tc>
                            <w:tcPr>
                              <w:tcW w:w="1080" w:type="dxa"/>
                              <w:noWrap/>
                              <w:vAlign w:val="center"/>
                              <w:hideMark/>
                            </w:tcPr>
                            <w:p w:rsidR="00FF7E43" w:rsidRDefault="00FF7E43">
                              <w:pPr>
                                <w:jc w:val="right"/>
                                <w:rPr>
                                  <w:rFonts w:ascii="Arial" w:eastAsia="Times New Roman" w:hAnsi="Arial" w:cs="Arial"/>
                                  <w:sz w:val="22"/>
                                  <w:szCs w:val="22"/>
                                </w:rPr>
                              </w:pPr>
                              <w:r>
                                <w:rPr>
                                  <w:rFonts w:ascii="Arial" w:eastAsia="Times New Roman" w:hAnsi="Arial" w:cs="Arial"/>
                                  <w:sz w:val="20"/>
                                  <w:szCs w:val="20"/>
                                </w:rPr>
                                <w:t>0,31</w:t>
                              </w:r>
                            </w:p>
                          </w:tc>
                          <w:tc>
                            <w:tcPr>
                              <w:tcW w:w="1065" w:type="dxa"/>
                              <w:noWrap/>
                              <w:vAlign w:val="center"/>
                              <w:hideMark/>
                            </w:tcPr>
                            <w:p w:rsidR="00FF7E43" w:rsidRDefault="00FF7E43">
                              <w:pPr>
                                <w:jc w:val="right"/>
                                <w:rPr>
                                  <w:rFonts w:ascii="Arial" w:eastAsia="Times New Roman" w:hAnsi="Arial" w:cs="Arial"/>
                                  <w:sz w:val="22"/>
                                  <w:szCs w:val="22"/>
                                </w:rPr>
                              </w:pPr>
                              <w:r>
                                <w:rPr>
                                  <w:rStyle w:val="Voimakas"/>
                                  <w:rFonts w:ascii="Arial" w:eastAsia="Times New Roman" w:hAnsi="Arial" w:cs="Arial"/>
                                  <w:sz w:val="20"/>
                                  <w:szCs w:val="20"/>
                                </w:rPr>
                                <w:t>-0,48</w:t>
                              </w:r>
                            </w:p>
                          </w:tc>
                          <w:tc>
                            <w:tcPr>
                              <w:tcW w:w="1080" w:type="dxa"/>
                              <w:noWrap/>
                              <w:vAlign w:val="center"/>
                              <w:hideMark/>
                            </w:tcPr>
                            <w:p w:rsidR="00FF7E43" w:rsidRDefault="00FF7E43">
                              <w:pPr>
                                <w:jc w:val="right"/>
                                <w:rPr>
                                  <w:rFonts w:ascii="Arial" w:eastAsia="Times New Roman" w:hAnsi="Arial" w:cs="Arial"/>
                                  <w:sz w:val="22"/>
                                  <w:szCs w:val="22"/>
                                </w:rPr>
                              </w:pPr>
                              <w:r>
                                <w:rPr>
                                  <w:rFonts w:ascii="Arial" w:eastAsia="Times New Roman" w:hAnsi="Arial" w:cs="Arial"/>
                                  <w:sz w:val="20"/>
                                  <w:szCs w:val="20"/>
                                </w:rPr>
                                <w:t>0,17</w:t>
                              </w:r>
                            </w:p>
                          </w:tc>
                          <w:tc>
                            <w:tcPr>
                              <w:tcW w:w="1080" w:type="dxa"/>
                              <w:noWrap/>
                              <w:vAlign w:val="center"/>
                              <w:hideMark/>
                            </w:tcPr>
                            <w:p w:rsidR="00FF7E43" w:rsidRDefault="00FF7E43">
                              <w:pPr>
                                <w:jc w:val="right"/>
                                <w:rPr>
                                  <w:rFonts w:ascii="Arial" w:eastAsia="Times New Roman" w:hAnsi="Arial" w:cs="Arial"/>
                                  <w:sz w:val="22"/>
                                  <w:szCs w:val="22"/>
                                </w:rPr>
                              </w:pPr>
                              <w:r>
                                <w:rPr>
                                  <w:rFonts w:ascii="Arial" w:eastAsia="Times New Roman" w:hAnsi="Arial" w:cs="Arial"/>
                                  <w:sz w:val="20"/>
                                  <w:szCs w:val="20"/>
                                </w:rPr>
                                <w:t>0,35</w:t>
                              </w:r>
                            </w:p>
                          </w:tc>
                        </w:tr>
                        <w:tr w:rsidR="00FF7E43">
                          <w:trPr>
                            <w:tblCellSpacing w:w="0" w:type="dxa"/>
                          </w:trPr>
                          <w:tc>
                            <w:tcPr>
                              <w:tcW w:w="3420" w:type="dxa"/>
                              <w:vAlign w:val="center"/>
                              <w:hideMark/>
                            </w:tcPr>
                            <w:p w:rsidR="00FF7E43" w:rsidRDefault="00FF7E43">
                              <w:pPr>
                                <w:rPr>
                                  <w:rFonts w:ascii="Arial" w:eastAsia="Times New Roman" w:hAnsi="Arial" w:cs="Arial"/>
                                  <w:sz w:val="22"/>
                                  <w:szCs w:val="22"/>
                                </w:rPr>
                              </w:pPr>
                              <w:r>
                                <w:rPr>
                                  <w:rFonts w:ascii="Arial" w:eastAsia="Times New Roman" w:hAnsi="Arial" w:cs="Arial"/>
                                  <w:sz w:val="20"/>
                                  <w:szCs w:val="20"/>
                                </w:rPr>
                                <w:t>Kertaluonteiset erät*</w:t>
                              </w:r>
                            </w:p>
                          </w:tc>
                          <w:tc>
                            <w:tcPr>
                              <w:tcW w:w="1065" w:type="dxa"/>
                              <w:noWrap/>
                              <w:vAlign w:val="center"/>
                              <w:hideMark/>
                            </w:tcPr>
                            <w:p w:rsidR="00FF7E43" w:rsidRDefault="00FF7E43">
                              <w:pPr>
                                <w:jc w:val="right"/>
                                <w:rPr>
                                  <w:rFonts w:ascii="Arial" w:eastAsia="Times New Roman" w:hAnsi="Arial" w:cs="Arial"/>
                                  <w:sz w:val="22"/>
                                  <w:szCs w:val="22"/>
                                </w:rPr>
                              </w:pPr>
                              <w:r>
                                <w:rPr>
                                  <w:rStyle w:val="Voimakas"/>
                                  <w:rFonts w:ascii="Arial" w:eastAsia="Times New Roman" w:hAnsi="Arial" w:cs="Arial"/>
                                  <w:sz w:val="20"/>
                                  <w:szCs w:val="20"/>
                                </w:rPr>
                                <w:t>-16,3</w:t>
                              </w:r>
                            </w:p>
                          </w:tc>
                          <w:tc>
                            <w:tcPr>
                              <w:tcW w:w="1080" w:type="dxa"/>
                              <w:noWrap/>
                              <w:vAlign w:val="center"/>
                              <w:hideMark/>
                            </w:tcPr>
                            <w:p w:rsidR="00FF7E43" w:rsidRDefault="00FF7E43">
                              <w:pPr>
                                <w:jc w:val="right"/>
                                <w:rPr>
                                  <w:rFonts w:ascii="Arial" w:eastAsia="Times New Roman" w:hAnsi="Arial" w:cs="Arial"/>
                                  <w:sz w:val="22"/>
                                  <w:szCs w:val="22"/>
                                </w:rPr>
                              </w:pPr>
                              <w:r>
                                <w:rPr>
                                  <w:rFonts w:ascii="Arial" w:eastAsia="Times New Roman" w:hAnsi="Arial" w:cs="Arial"/>
                                  <w:sz w:val="20"/>
                                  <w:szCs w:val="20"/>
                                </w:rPr>
                                <w:t>0,0</w:t>
                              </w:r>
                            </w:p>
                          </w:tc>
                          <w:tc>
                            <w:tcPr>
                              <w:tcW w:w="1065" w:type="dxa"/>
                              <w:noWrap/>
                              <w:vAlign w:val="center"/>
                              <w:hideMark/>
                            </w:tcPr>
                            <w:p w:rsidR="00FF7E43" w:rsidRDefault="00FF7E43">
                              <w:pPr>
                                <w:jc w:val="right"/>
                                <w:rPr>
                                  <w:rFonts w:ascii="Arial" w:eastAsia="Times New Roman" w:hAnsi="Arial" w:cs="Arial"/>
                                  <w:sz w:val="22"/>
                                  <w:szCs w:val="22"/>
                                </w:rPr>
                              </w:pPr>
                              <w:r>
                                <w:rPr>
                                  <w:rStyle w:val="Voimakas"/>
                                  <w:rFonts w:ascii="Arial" w:eastAsia="Times New Roman" w:hAnsi="Arial" w:cs="Arial"/>
                                  <w:sz w:val="20"/>
                                  <w:szCs w:val="20"/>
                                </w:rPr>
                                <w:t>-15,2</w:t>
                              </w:r>
                            </w:p>
                          </w:tc>
                          <w:tc>
                            <w:tcPr>
                              <w:tcW w:w="1080" w:type="dxa"/>
                              <w:noWrap/>
                              <w:vAlign w:val="center"/>
                              <w:hideMark/>
                            </w:tcPr>
                            <w:p w:rsidR="00FF7E43" w:rsidRDefault="00FF7E43">
                              <w:pPr>
                                <w:jc w:val="right"/>
                                <w:rPr>
                                  <w:rFonts w:ascii="Arial" w:eastAsia="Times New Roman" w:hAnsi="Arial" w:cs="Arial"/>
                                  <w:sz w:val="22"/>
                                  <w:szCs w:val="22"/>
                                </w:rPr>
                              </w:pPr>
                              <w:r>
                                <w:rPr>
                                  <w:rFonts w:ascii="Arial" w:eastAsia="Times New Roman" w:hAnsi="Arial" w:cs="Arial"/>
                                  <w:sz w:val="20"/>
                                  <w:szCs w:val="20"/>
                                </w:rPr>
                                <w:t>0,0</w:t>
                              </w:r>
                            </w:p>
                          </w:tc>
                          <w:tc>
                            <w:tcPr>
                              <w:tcW w:w="1080" w:type="dxa"/>
                              <w:noWrap/>
                              <w:vAlign w:val="center"/>
                              <w:hideMark/>
                            </w:tcPr>
                            <w:p w:rsidR="00FF7E43" w:rsidRDefault="00FF7E43">
                              <w:pPr>
                                <w:jc w:val="right"/>
                                <w:rPr>
                                  <w:rFonts w:ascii="Arial" w:eastAsia="Times New Roman" w:hAnsi="Arial" w:cs="Arial"/>
                                  <w:sz w:val="22"/>
                                  <w:szCs w:val="22"/>
                                </w:rPr>
                              </w:pPr>
                              <w:r>
                                <w:rPr>
                                  <w:rFonts w:ascii="Arial" w:eastAsia="Times New Roman" w:hAnsi="Arial" w:cs="Arial"/>
                                  <w:sz w:val="20"/>
                                  <w:szCs w:val="20"/>
                                </w:rPr>
                                <w:t>-0,5</w:t>
                              </w:r>
                            </w:p>
                          </w:tc>
                        </w:tr>
                      </w:tbl>
                      <w:p w:rsidR="00FF7E43" w:rsidRDefault="00FF7E43">
                        <w:pPr>
                          <w:pStyle w:val="NormaaliWeb"/>
                          <w:rPr>
                            <w:rFonts w:ascii="Arial" w:hAnsi="Arial" w:cs="Arial"/>
                            <w:color w:val="000000"/>
                            <w:sz w:val="22"/>
                            <w:szCs w:val="22"/>
                          </w:rPr>
                        </w:pPr>
                        <w:r>
                          <w:rPr>
                            <w:rFonts w:ascii="Arial" w:hAnsi="Arial" w:cs="Arial"/>
                            <w:color w:val="000000"/>
                            <w:sz w:val="22"/>
                            <w:szCs w:val="22"/>
                          </w:rPr>
                          <w:t> </w:t>
                        </w:r>
                      </w:p>
                      <w:p w:rsidR="00FF7E43" w:rsidRDefault="00FF7E43">
                        <w:pPr>
                          <w:pStyle w:val="NormaaliWeb"/>
                          <w:rPr>
                            <w:rFonts w:ascii="Arial" w:hAnsi="Arial" w:cs="Arial"/>
                            <w:color w:val="000000"/>
                            <w:sz w:val="22"/>
                            <w:szCs w:val="22"/>
                          </w:rPr>
                        </w:pPr>
                        <w:r>
                          <w:rPr>
                            <w:rFonts w:ascii="Arial" w:hAnsi="Arial" w:cs="Arial"/>
                            <w:color w:val="000000"/>
                            <w:sz w:val="20"/>
                            <w:szCs w:val="20"/>
                          </w:rPr>
                          <w:t>*Kertaluonteiset erät, jotka sisältyvät raportoituun liikevoittoon</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Style w:val="Voimakas"/>
                            <w:rFonts w:ascii="Arial" w:hAnsi="Arial" w:cs="Arial"/>
                            <w:color w:val="000000"/>
                            <w:sz w:val="20"/>
                            <w:szCs w:val="20"/>
                          </w:rPr>
                          <w:t>Katsaus 1.7. – 30.9.2013</w:t>
                        </w:r>
                        <w:r>
                          <w:rPr>
                            <w:rFonts w:ascii="Arial" w:hAnsi="Arial" w:cs="Arial"/>
                            <w:b/>
                            <w:bCs/>
                            <w:color w:val="000000"/>
                            <w:sz w:val="20"/>
                            <w:szCs w:val="20"/>
                          </w:rPr>
                          <w:br/>
                        </w:r>
                        <w:r>
                          <w:rPr>
                            <w:rFonts w:ascii="Arial" w:hAnsi="Arial" w:cs="Arial"/>
                            <w:b/>
                            <w:bCs/>
                            <w:color w:val="000000"/>
                            <w:sz w:val="20"/>
                            <w:szCs w:val="20"/>
                          </w:rPr>
                          <w:br/>
                        </w:r>
                        <w:r>
                          <w:rPr>
                            <w:rStyle w:val="Voimakas"/>
                            <w:rFonts w:ascii="Arial" w:hAnsi="Arial" w:cs="Arial"/>
                            <w:color w:val="000000"/>
                            <w:sz w:val="20"/>
                            <w:szCs w:val="20"/>
                          </w:rPr>
                          <w:t>Atria-konsernin</w:t>
                        </w:r>
                        <w:r>
                          <w:rPr>
                            <w:rFonts w:ascii="Arial" w:hAnsi="Arial" w:cs="Arial"/>
                            <w:color w:val="000000"/>
                            <w:sz w:val="20"/>
                            <w:szCs w:val="20"/>
                          </w:rPr>
                          <w:t xml:space="preserve"> heinä-syyskuun liikevaihto oli 358,4 miljoonaa euroa (341,1 milj. euroa), ja se kasvoi 17,3 miljoonaa euroa edellisvuoden vastaavaan jaksoon verrattuna. Katsauskaudella Atria kirjasi Venäjän liiketoiminnoista kertaluonteisia kuluja yhteensä 23,0 miljoonaa euroa, josta liikevoittoon kohdistui 15,4 miljoonaa euroa. Lisäksi Skandinavian liiketoiminnoista kirjattiin 0,9 miljoonan euron arvon alentuminen myytävänä olevasta kiinteistöstä. Konsernin liiketulos heikkeni edellisvuodesta 18,4 miljoonaa euroa ja oli -1,8 miljoonaa euroa (16,6 milj. euroa). Liikevoitto ilman kertaluonteisia kuluja laski hieman ja oli 14,6 miljoonaa euroa (16,6 milj. euroa).</w:t>
                        </w:r>
                        <w:r>
                          <w:rPr>
                            <w:rFonts w:ascii="Arial" w:hAnsi="Arial" w:cs="Arial"/>
                            <w:color w:val="000000"/>
                            <w:sz w:val="20"/>
                            <w:szCs w:val="20"/>
                          </w:rPr>
                          <w:br/>
                        </w:r>
                        <w:r>
                          <w:rPr>
                            <w:rFonts w:ascii="Arial" w:hAnsi="Arial" w:cs="Arial"/>
                            <w:color w:val="000000"/>
                            <w:sz w:val="20"/>
                            <w:szCs w:val="20"/>
                          </w:rPr>
                          <w:br/>
                        </w:r>
                        <w:r>
                          <w:rPr>
                            <w:rStyle w:val="Voimakas"/>
                            <w:rFonts w:ascii="Arial" w:hAnsi="Arial" w:cs="Arial"/>
                            <w:color w:val="000000"/>
                            <w:sz w:val="20"/>
                            <w:szCs w:val="20"/>
                          </w:rPr>
                          <w:t xml:space="preserve">Atria Suomen </w:t>
                        </w:r>
                        <w:r>
                          <w:rPr>
                            <w:rFonts w:ascii="Arial" w:hAnsi="Arial" w:cs="Arial"/>
                            <w:color w:val="000000"/>
                            <w:sz w:val="20"/>
                            <w:szCs w:val="20"/>
                          </w:rPr>
                          <w:t>heinä-syyskuun liikevaihto oli 224,8 miljoonaa euroa (205,1 milj. euroa), jossa oli kasvua 19,7 miljoonaa euroa viime vuoden vastaavaan jaksoon verrattuna. Liikevoitto 9,8 miljoonaa euroa (12,5 milj. euroa) oli 2,7 miljoonaa euroa vertailujaksoa heikompi. Liikevaihto kasvoi katsauskaudella kaikissa myyntikanavissa. Liikevoittoa painoivat vuosineljänneksen lopulla entisestään kiristynyt hintakilpailu vähittäiskaupan tuotteissa, alhaiset vientihinnat sekä korkeat liharaaka-aineiden hinnat.</w:t>
                        </w:r>
                        <w:r>
                          <w:rPr>
                            <w:rFonts w:ascii="Arial" w:hAnsi="Arial" w:cs="Arial"/>
                            <w:color w:val="000000"/>
                            <w:sz w:val="20"/>
                            <w:szCs w:val="20"/>
                          </w:rPr>
                          <w:br/>
                        </w:r>
                        <w:r>
                          <w:rPr>
                            <w:rFonts w:ascii="Arial" w:hAnsi="Arial" w:cs="Arial"/>
                            <w:color w:val="000000"/>
                            <w:sz w:val="20"/>
                            <w:szCs w:val="20"/>
                          </w:rPr>
                          <w:br/>
                        </w:r>
                        <w:r>
                          <w:rPr>
                            <w:rStyle w:val="Voimakas"/>
                            <w:rFonts w:ascii="Arial" w:hAnsi="Arial" w:cs="Arial"/>
                            <w:color w:val="000000"/>
                            <w:sz w:val="20"/>
                            <w:szCs w:val="20"/>
                          </w:rPr>
                          <w:t xml:space="preserve">Atria Skandinavian </w:t>
                        </w:r>
                        <w:r>
                          <w:rPr>
                            <w:rFonts w:ascii="Arial" w:hAnsi="Arial" w:cs="Arial"/>
                            <w:color w:val="000000"/>
                            <w:sz w:val="20"/>
                            <w:szCs w:val="20"/>
                          </w:rPr>
                          <w:t>heinä-syyskuun liikevaihto oli 99,7 miljoonaa euroa (100,1 milj. euroa), joka oli 0,4 miljoonaa euroa vertailujaksoa pienempi. Paikallisissa valuutoissa liikevaihto oli 2,8 prosenttia edellisvuotta suurempi. Liikevoitto oli 4,7 miljoonaa euroa (4,4 milj. euroa). Liikevoittoon sisältyy 0,9 miljoonan euron kertaluonteinen kulu, joka johtuu myytävänä olevan kiinteistön arvon alentumisesta. Myönteinen tuloskehitys johtuu paremmasta myynnin rakenteesta ja vakaina pysyneistä raaka-aineiden hinnoista.</w:t>
                        </w:r>
                        <w:r>
                          <w:rPr>
                            <w:rFonts w:ascii="Arial" w:hAnsi="Arial" w:cs="Arial"/>
                            <w:color w:val="000000"/>
                            <w:sz w:val="20"/>
                            <w:szCs w:val="20"/>
                          </w:rPr>
                          <w:br/>
                        </w:r>
                        <w:r>
                          <w:rPr>
                            <w:rFonts w:ascii="Arial" w:hAnsi="Arial" w:cs="Arial"/>
                            <w:color w:val="000000"/>
                            <w:sz w:val="20"/>
                            <w:szCs w:val="20"/>
                          </w:rPr>
                          <w:br/>
                        </w:r>
                        <w:r>
                          <w:rPr>
                            <w:rStyle w:val="Voimakas"/>
                            <w:rFonts w:ascii="Arial" w:hAnsi="Arial" w:cs="Arial"/>
                            <w:color w:val="000000"/>
                            <w:sz w:val="20"/>
                            <w:szCs w:val="20"/>
                          </w:rPr>
                          <w:t>Atria Venäjän</w:t>
                        </w:r>
                        <w:r>
                          <w:rPr>
                            <w:rFonts w:ascii="Arial" w:hAnsi="Arial" w:cs="Arial"/>
                            <w:color w:val="000000"/>
                            <w:sz w:val="20"/>
                            <w:szCs w:val="20"/>
                          </w:rPr>
                          <w:t xml:space="preserve"> heinä-syyskuun liikevaihto oli 32,0 miljoonaa euroa (33,9 milj. euroa). Paikallisessa valuutassa liikevaihto nousi 2,8 prosenttia edellisen vuoden vastaavaan jaksoon verrattuna. Liiketulos oli -16,4 miljoona euroa (0,6 milj. euroa). Kertaluonteisia arvonalentumisia kirjattiin yhteensä 23,0 miljoonaa euroa, josta liiketulokseen kohdistui 15,4 miljoonaa euroa. Arvonalentumiskirjauksista käyttöomaisuuteen kohdistui 14,3 miljoonaa euroa, laskennallisiin verosaamisiin 7,6 miljoonaa euroa ja muihin varoihin 1,1 miljoonaa euroa. Liiketulos ilman kertaluonteisia kuluja oli -0,9 miljoonaa euroa (0,6 milj. euroa). Alkutuotannon heikko kannattavuus painoi heinä-syyskuun tuloksen ilman kertaluonteisia kuluja tappiolliseksi. Kannattamattomasta alkutuotannosta ja Moskovan tuotannollisista toiminnoista luopumisen seurauksena arvioidaan syntyvän jatkossa noin 6 miljoonan euron vuosittainen kustannussäästö vuoteen 2013 verrattuna. Säästöt toteutuvat täysimääräisesti vuoden 2015 alusta alkaen.</w:t>
                        </w:r>
                        <w:r>
                          <w:rPr>
                            <w:rFonts w:ascii="Arial" w:hAnsi="Arial" w:cs="Arial"/>
                            <w:color w:val="000000"/>
                            <w:sz w:val="20"/>
                            <w:szCs w:val="20"/>
                          </w:rPr>
                          <w:br/>
                        </w:r>
                        <w:r>
                          <w:rPr>
                            <w:rFonts w:ascii="Arial" w:hAnsi="Arial" w:cs="Arial"/>
                            <w:color w:val="000000"/>
                            <w:sz w:val="20"/>
                            <w:szCs w:val="20"/>
                          </w:rPr>
                          <w:br/>
                        </w:r>
                        <w:r>
                          <w:rPr>
                            <w:rStyle w:val="Voimakas"/>
                            <w:rFonts w:ascii="Arial" w:hAnsi="Arial" w:cs="Arial"/>
                            <w:color w:val="000000"/>
                            <w:sz w:val="20"/>
                            <w:szCs w:val="20"/>
                          </w:rPr>
                          <w:t>Atria Baltian</w:t>
                        </w:r>
                        <w:r>
                          <w:rPr>
                            <w:rFonts w:ascii="Arial" w:hAnsi="Arial" w:cs="Arial"/>
                            <w:color w:val="000000"/>
                            <w:sz w:val="20"/>
                            <w:szCs w:val="20"/>
                          </w:rPr>
                          <w:t xml:space="preserve"> heinä-syyskuun liikevaihto oli 8,5 miljoonaa euroa (8,4 milj. euroa). Toiminnan tehostamisen ansiosta liikevoitto parani 0,7 miljoonaa euroa ja oli 0,3 miljoonaa euroa (-0,4 milj. euroa).</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Style w:val="Voimakas"/>
                            <w:rFonts w:ascii="Arial" w:hAnsi="Arial" w:cs="Arial"/>
                            <w:color w:val="000000"/>
                            <w:sz w:val="20"/>
                            <w:szCs w:val="20"/>
                          </w:rPr>
                          <w:lastRenderedPageBreak/>
                          <w:t>Katsaus 1.1. – 30.9.2013</w:t>
                        </w:r>
                        <w:r>
                          <w:rPr>
                            <w:rFonts w:ascii="Arial" w:hAnsi="Arial" w:cs="Arial"/>
                            <w:b/>
                            <w:bCs/>
                            <w:color w:val="000000"/>
                            <w:sz w:val="20"/>
                            <w:szCs w:val="20"/>
                          </w:rPr>
                          <w:br/>
                        </w:r>
                        <w:r>
                          <w:rPr>
                            <w:rFonts w:ascii="Arial" w:hAnsi="Arial" w:cs="Arial"/>
                            <w:b/>
                            <w:bCs/>
                            <w:color w:val="000000"/>
                            <w:sz w:val="20"/>
                            <w:szCs w:val="20"/>
                          </w:rPr>
                          <w:br/>
                        </w:r>
                        <w:r>
                          <w:rPr>
                            <w:rStyle w:val="Voimakas"/>
                            <w:rFonts w:ascii="Arial" w:hAnsi="Arial" w:cs="Arial"/>
                            <w:color w:val="000000"/>
                            <w:sz w:val="20"/>
                            <w:szCs w:val="20"/>
                          </w:rPr>
                          <w:t>Atria-konsernin</w:t>
                        </w:r>
                        <w:r>
                          <w:rPr>
                            <w:rFonts w:ascii="Arial" w:hAnsi="Arial" w:cs="Arial"/>
                            <w:color w:val="000000"/>
                            <w:sz w:val="20"/>
                            <w:szCs w:val="20"/>
                          </w:rPr>
                          <w:t xml:space="preserve"> tammi-syyskuun liikevaihto oli 1 050,4 miljoonaa euroa (982,9 milj. euroa), ja se kasvoi 67,5 miljoonaa euroa edellisvuoden vastaavaan jaksoon verrattuna. Katsauskaudella Atria kirjasi Venäjän liiketoiminnoista kertaluonteisia kuluja yhteensä 23,0 miljoonaa euroa, josta liikevoittoon kohdistui 15,4 miljoonaa euroa. Lisäksi Skandinavian liiketoiminnoista kirjattiin 0,9 miljoonan euron arvon alentuminen myytävänä olevasta kiinteistöstä. Suomessa kirjattiin 1,1 miljoonan euron kertaluonteinen tuotto, joka johtuu arvonalentumistappioiden peruuttamisesta myytävänä olleesta kiinteistöstä. Konsernin liikevoitto heikkeni edellisvuodesta 13,3 miljoonaa euroa ja oli 9,1 miljoonaa euroa (22,4 milj. euroa). Liikevoitto ilman kertaluonteisia eriä oli 24,4 miljoonaa euroa (22,4 milj. euroa).</w:t>
                        </w:r>
                        <w:r>
                          <w:rPr>
                            <w:rFonts w:ascii="Arial" w:hAnsi="Arial" w:cs="Arial"/>
                            <w:color w:val="000000"/>
                            <w:sz w:val="20"/>
                            <w:szCs w:val="20"/>
                          </w:rPr>
                          <w:br/>
                        </w:r>
                        <w:r>
                          <w:rPr>
                            <w:rFonts w:ascii="Arial" w:hAnsi="Arial" w:cs="Arial"/>
                            <w:color w:val="000000"/>
                            <w:sz w:val="20"/>
                            <w:szCs w:val="20"/>
                          </w:rPr>
                          <w:br/>
                          <w:t>Atria laski maaliskuussa liikkeeseen 50 miljoonan euron suuruisen kiinteäkorkoisen joukkovelkakirjalainan. Saadut varat käytettiin jälleenrahoitukseen ja konsernin yleisiin rahoitustarpeisiin. Laina-aika on viisi vuotta ja lainalle maksetaan 4,375 prosentin kuponkikorkoa. Joukkovelkakirjat ovat kaupankäynnin kohteena NASDAQ OMX Helsinki Oy:ssä.</w:t>
                        </w:r>
                        <w:r>
                          <w:rPr>
                            <w:rFonts w:ascii="Arial" w:hAnsi="Arial" w:cs="Arial"/>
                            <w:color w:val="000000"/>
                            <w:sz w:val="20"/>
                            <w:szCs w:val="20"/>
                          </w:rPr>
                          <w:br/>
                        </w:r>
                        <w:r>
                          <w:rPr>
                            <w:rFonts w:ascii="Arial" w:hAnsi="Arial" w:cs="Arial"/>
                            <w:color w:val="000000"/>
                            <w:sz w:val="20"/>
                            <w:szCs w:val="20"/>
                          </w:rPr>
                          <w:br/>
                          <w:t>Konsernin vapaa kassavirta katsauskaudella (liiketoiminnan rahavirta – investointien rahavirta) oli 20,7 miljoonaa euroa (-1,5 milj. euroa) ja nettovelka oli 343,8 miljoonaa euroa (417,8 milj. euroa).</w:t>
                        </w:r>
                        <w:r>
                          <w:rPr>
                            <w:rFonts w:ascii="Arial" w:hAnsi="Arial" w:cs="Arial"/>
                            <w:color w:val="000000"/>
                            <w:sz w:val="20"/>
                            <w:szCs w:val="20"/>
                          </w:rPr>
                          <w:br/>
                        </w:r>
                        <w:r>
                          <w:rPr>
                            <w:rFonts w:ascii="Arial" w:hAnsi="Arial" w:cs="Arial"/>
                            <w:color w:val="000000"/>
                            <w:sz w:val="20"/>
                            <w:szCs w:val="20"/>
                          </w:rPr>
                          <w:br/>
                        </w:r>
                        <w:r>
                          <w:rPr>
                            <w:rStyle w:val="Voimakas"/>
                            <w:rFonts w:ascii="Arial" w:hAnsi="Arial" w:cs="Arial"/>
                            <w:color w:val="000000"/>
                            <w:sz w:val="20"/>
                            <w:szCs w:val="20"/>
                          </w:rPr>
                          <w:t xml:space="preserve">Atria Suomen </w:t>
                        </w:r>
                        <w:r>
                          <w:rPr>
                            <w:rFonts w:ascii="Arial" w:hAnsi="Arial" w:cs="Arial"/>
                            <w:color w:val="000000"/>
                            <w:sz w:val="20"/>
                            <w:szCs w:val="20"/>
                          </w:rPr>
                          <w:t>tammi-syyskuun liikevaihto oli 660,8 miljoonaa euroa (598,1 milj. euroa), jossa oli kasvua 62,7 miljoonaa euroa viime vuoden vastaavaan jaksoon verrattuna. Liikevoitto 23,8 miljoonaa euroa (25,5 milj. euroa) oli 1,7 miljoonaa euroa vertailujaksoa heikompi. Liikevoittoon sisältyy 1,1 miljoonan euron kertaluonteinen tuotto, joka johtuu arvonalentumistappioiden peruuttamisesta myytävänä olleesta kiinteistöstä Forssassa. Liikevoittoa painoivat katsauskauden lopulla kiristynyt hintakilpailu, korkea kotimaisen liharaaka-aineen hinta ja alhaisena pysyneet vientihinnat.</w:t>
                        </w:r>
                        <w:r>
                          <w:rPr>
                            <w:rFonts w:ascii="Arial" w:hAnsi="Arial" w:cs="Arial"/>
                            <w:color w:val="000000"/>
                            <w:sz w:val="20"/>
                            <w:szCs w:val="20"/>
                          </w:rPr>
                          <w:br/>
                        </w:r>
                        <w:r>
                          <w:rPr>
                            <w:rFonts w:ascii="Arial" w:hAnsi="Arial" w:cs="Arial"/>
                            <w:color w:val="000000"/>
                            <w:sz w:val="20"/>
                            <w:szCs w:val="20"/>
                          </w:rPr>
                          <w:br/>
                        </w:r>
                        <w:r>
                          <w:rPr>
                            <w:rStyle w:val="Voimakas"/>
                            <w:rFonts w:ascii="Arial" w:hAnsi="Arial" w:cs="Arial"/>
                            <w:color w:val="000000"/>
                            <w:sz w:val="20"/>
                            <w:szCs w:val="20"/>
                          </w:rPr>
                          <w:t xml:space="preserve">Atria Skandinavian </w:t>
                        </w:r>
                        <w:r>
                          <w:rPr>
                            <w:rFonts w:ascii="Arial" w:hAnsi="Arial" w:cs="Arial"/>
                            <w:color w:val="000000"/>
                            <w:sz w:val="20"/>
                            <w:szCs w:val="20"/>
                          </w:rPr>
                          <w:t>tammi-syyskuun liikevaihto oli 292,0 miljoonaa euroa (284,6 milj. euroa), jossa oli kasvua 7,4 miljoonaa euroa viime vuoden vastaavaan jaksoon verrattuna. Paikallisessa valuutassa liikevaihto kasvoi 1,7 prosenttia edellisen vuoden vastaavaan jaksoon verrattuna. Liikevoitto oli 6,5 miljoonaa euroa (6,3 milj. euroa). Liikevoittoon sisältyy 0,9 miljoonan euron kertaluonteinen kulu, joka johtuu myytävänä olevan kiinteistön arvon alentumisesta. Myönteinen liikevoiton kehitys johtui vakaampina pysyneistä raaka-aineiden hinnoista ja paremmasta myynnin rakenteesta.</w:t>
                        </w:r>
                        <w:r>
                          <w:rPr>
                            <w:rFonts w:ascii="Arial" w:hAnsi="Arial" w:cs="Arial"/>
                            <w:color w:val="000000"/>
                            <w:sz w:val="20"/>
                            <w:szCs w:val="20"/>
                          </w:rPr>
                          <w:br/>
                        </w:r>
                        <w:r>
                          <w:rPr>
                            <w:rFonts w:ascii="Arial" w:hAnsi="Arial" w:cs="Arial"/>
                            <w:color w:val="000000"/>
                            <w:sz w:val="20"/>
                            <w:szCs w:val="20"/>
                          </w:rPr>
                          <w:br/>
                        </w:r>
                        <w:r>
                          <w:rPr>
                            <w:rStyle w:val="Voimakas"/>
                            <w:rFonts w:ascii="Arial" w:hAnsi="Arial" w:cs="Arial"/>
                            <w:color w:val="000000"/>
                            <w:sz w:val="20"/>
                            <w:szCs w:val="20"/>
                          </w:rPr>
                          <w:t>Atria Venäjän</w:t>
                        </w:r>
                        <w:r>
                          <w:rPr>
                            <w:rFonts w:ascii="Arial" w:hAnsi="Arial" w:cs="Arial"/>
                            <w:color w:val="000000"/>
                            <w:sz w:val="20"/>
                            <w:szCs w:val="20"/>
                          </w:rPr>
                          <w:t xml:space="preserve"> tammi-syyskuun liikevaihto oli 90,8 miljoonaa euroa (93,5 milj. euroa). Paikallisessa valuutassa liikevaihto kasvoi 1,8 prosenttia edellisen vuoden vastaavaan jaksoon verrattuna. Liiketulos oli -19,1 miljoona euroa (-4,7 milj. euroa). Kertaluonteisia arvonalentumisia kirjattiin yhteensä 23,0 miljoonaa euroa, josta liiketulokseen kohdistui 15,4 miljoonaa euroa. Arvonalentumiskirjauksista käyttöomaisuuteen kohdistui 14,3 miljoonaa euroa, laskennallisiin verosaamisiin 7,6 miljoonaa euroa ja muihin varoihin 1,1 miljoonaa euroa. Liiketulos ilman kertaluonteisia kuluja oli -3,7 miljoonaa euroa (-4,7 milj. euroa). Teollisen toiminnan tulos parani tehostamistoimenpiteiden ansiosta. Alkutuotannon heikko kannattavuus painoi tuloksen ilman kertaluonteisia kuluja tappiolliseksi. Kannattamattomasta alkutuotannosta ja Moskovan tuotannollisista toiminnoista luopumisen seurauksena arvioidaan syntyvän jatkossa noin 6 miljoonan euron vuosittainen kustannussäästö vuoteen 2013 verrattuna. Säästöt toteutuvat täysimääräisesti vuoden 2015 alusta alkaen.</w:t>
                        </w:r>
                        <w:r>
                          <w:rPr>
                            <w:rFonts w:ascii="Arial" w:hAnsi="Arial" w:cs="Arial"/>
                            <w:color w:val="000000"/>
                            <w:sz w:val="20"/>
                            <w:szCs w:val="20"/>
                          </w:rPr>
                          <w:br/>
                        </w:r>
                        <w:r>
                          <w:rPr>
                            <w:rFonts w:ascii="Arial" w:hAnsi="Arial" w:cs="Arial"/>
                            <w:color w:val="000000"/>
                            <w:sz w:val="20"/>
                            <w:szCs w:val="20"/>
                          </w:rPr>
                          <w:br/>
                        </w:r>
                        <w:r>
                          <w:rPr>
                            <w:rStyle w:val="Voimakas"/>
                            <w:rFonts w:ascii="Arial" w:hAnsi="Arial" w:cs="Arial"/>
                            <w:color w:val="000000"/>
                            <w:sz w:val="20"/>
                            <w:szCs w:val="20"/>
                          </w:rPr>
                          <w:t xml:space="preserve">Atria Baltian </w:t>
                        </w:r>
                        <w:r>
                          <w:rPr>
                            <w:rFonts w:ascii="Arial" w:hAnsi="Arial" w:cs="Arial"/>
                            <w:color w:val="000000"/>
                            <w:sz w:val="20"/>
                            <w:szCs w:val="20"/>
                          </w:rPr>
                          <w:t>tammi-syyskuun liikevaihto oli 25,0 miljoonaa euroa (25,4 milj. euroa), jossa oli laskua 0,4 miljoonaa euroa viime vuoden vastaavaan jaksoon verrattuna. Liiketulos -0,1 miljoonaa euroa (-1,3 milj. euroa) oli 1,2 miljoonaa euroa vertailujaksoa parempi.</w:t>
                        </w:r>
                      </w:p>
                      <w:tbl>
                        <w:tblPr>
                          <w:tblW w:w="0" w:type="auto"/>
                          <w:tblCellSpacing w:w="0" w:type="dxa"/>
                          <w:tblCellMar>
                            <w:top w:w="45" w:type="dxa"/>
                            <w:left w:w="45" w:type="dxa"/>
                            <w:bottom w:w="45" w:type="dxa"/>
                            <w:right w:w="45" w:type="dxa"/>
                          </w:tblCellMar>
                          <w:tblLook w:val="04A0"/>
                        </w:tblPr>
                        <w:tblGrid>
                          <w:gridCol w:w="4485"/>
                          <w:gridCol w:w="885"/>
                          <w:gridCol w:w="885"/>
                          <w:gridCol w:w="947"/>
                        </w:tblGrid>
                        <w:tr w:rsidR="00FF7E43">
                          <w:trPr>
                            <w:tblCellSpacing w:w="0" w:type="dxa"/>
                          </w:trPr>
                          <w:tc>
                            <w:tcPr>
                              <w:tcW w:w="4485" w:type="dxa"/>
                              <w:vAlign w:val="center"/>
                              <w:hideMark/>
                            </w:tcPr>
                            <w:p w:rsidR="00FF7E43" w:rsidRDefault="00FF7E43">
                              <w:pPr>
                                <w:rPr>
                                  <w:rFonts w:ascii="Arial" w:eastAsia="Times New Roman" w:hAnsi="Arial" w:cs="Arial"/>
                                  <w:sz w:val="22"/>
                                  <w:szCs w:val="22"/>
                                </w:rPr>
                              </w:pPr>
                              <w:r>
                                <w:rPr>
                                  <w:rStyle w:val="Voimakas"/>
                                  <w:rFonts w:ascii="Arial" w:eastAsia="Times New Roman" w:hAnsi="Arial" w:cs="Arial"/>
                                  <w:sz w:val="22"/>
                                  <w:szCs w:val="22"/>
                                </w:rPr>
                                <w:t>Tunnusluvut</w:t>
                              </w:r>
                            </w:p>
                          </w:tc>
                          <w:tc>
                            <w:tcPr>
                              <w:tcW w:w="885" w:type="dxa"/>
                              <w:vAlign w:val="center"/>
                              <w:hideMark/>
                            </w:tcPr>
                            <w:p w:rsidR="00FF7E43" w:rsidRDefault="00FF7E43">
                              <w:pPr>
                                <w:rPr>
                                  <w:rFonts w:ascii="Arial" w:eastAsia="Times New Roman" w:hAnsi="Arial" w:cs="Arial"/>
                                  <w:sz w:val="22"/>
                                  <w:szCs w:val="22"/>
                                </w:rPr>
                              </w:pPr>
                              <w:r>
                                <w:rPr>
                                  <w:rFonts w:ascii="Arial" w:eastAsia="Times New Roman" w:hAnsi="Arial" w:cs="Arial"/>
                                  <w:sz w:val="22"/>
                                  <w:szCs w:val="22"/>
                                </w:rPr>
                                <w:t> </w:t>
                              </w:r>
                            </w:p>
                          </w:tc>
                          <w:tc>
                            <w:tcPr>
                              <w:tcW w:w="885" w:type="dxa"/>
                              <w:vAlign w:val="center"/>
                              <w:hideMark/>
                            </w:tcPr>
                            <w:p w:rsidR="00FF7E43" w:rsidRDefault="00FF7E43">
                              <w:pPr>
                                <w:rPr>
                                  <w:rFonts w:ascii="Arial" w:eastAsia="Times New Roman" w:hAnsi="Arial" w:cs="Arial"/>
                                  <w:sz w:val="22"/>
                                  <w:szCs w:val="22"/>
                                </w:rPr>
                              </w:pPr>
                              <w:r>
                                <w:rPr>
                                  <w:rFonts w:ascii="Arial" w:eastAsia="Times New Roman" w:hAnsi="Arial" w:cs="Arial"/>
                                  <w:sz w:val="22"/>
                                  <w:szCs w:val="22"/>
                                </w:rPr>
                                <w:t> </w:t>
                              </w:r>
                            </w:p>
                          </w:tc>
                          <w:tc>
                            <w:tcPr>
                              <w:tcW w:w="870" w:type="dxa"/>
                              <w:vAlign w:val="center"/>
                              <w:hideMark/>
                            </w:tcPr>
                            <w:p w:rsidR="00FF7E43" w:rsidRDefault="00FF7E43">
                              <w:pPr>
                                <w:rPr>
                                  <w:rFonts w:ascii="Arial" w:eastAsia="Times New Roman" w:hAnsi="Arial" w:cs="Arial"/>
                                  <w:sz w:val="22"/>
                                  <w:szCs w:val="22"/>
                                </w:rPr>
                              </w:pPr>
                              <w:r>
                                <w:rPr>
                                  <w:rFonts w:ascii="Arial" w:eastAsia="Times New Roman" w:hAnsi="Arial" w:cs="Arial"/>
                                  <w:sz w:val="22"/>
                                  <w:szCs w:val="22"/>
                                </w:rPr>
                                <w:t> </w:t>
                              </w:r>
                            </w:p>
                          </w:tc>
                        </w:tr>
                        <w:tr w:rsidR="00FF7E43">
                          <w:trPr>
                            <w:tblCellSpacing w:w="0" w:type="dxa"/>
                          </w:trPr>
                          <w:tc>
                            <w:tcPr>
                              <w:tcW w:w="0" w:type="auto"/>
                              <w:tcBorders>
                                <w:top w:val="nil"/>
                                <w:left w:val="nil"/>
                                <w:bottom w:val="single" w:sz="8" w:space="0" w:color="000000"/>
                                <w:right w:val="nil"/>
                              </w:tcBorders>
                              <w:vAlign w:val="center"/>
                              <w:hideMark/>
                            </w:tcPr>
                            <w:p w:rsidR="00FF7E43" w:rsidRDefault="00FF7E43">
                              <w:pPr>
                                <w:rPr>
                                  <w:rFonts w:ascii="Arial" w:eastAsia="Times New Roman" w:hAnsi="Arial" w:cs="Arial"/>
                                  <w:sz w:val="22"/>
                                  <w:szCs w:val="22"/>
                                </w:rPr>
                              </w:pPr>
                              <w:r>
                                <w:rPr>
                                  <w:rStyle w:val="Voimakas"/>
                                  <w:rFonts w:ascii="Arial" w:eastAsia="Times New Roman" w:hAnsi="Arial" w:cs="Arial"/>
                                  <w:sz w:val="22"/>
                                  <w:szCs w:val="22"/>
                                </w:rPr>
                                <w:t>milj. EUR</w:t>
                              </w:r>
                            </w:p>
                          </w:tc>
                          <w:tc>
                            <w:tcPr>
                              <w:tcW w:w="0" w:type="auto"/>
                              <w:tcBorders>
                                <w:top w:val="nil"/>
                                <w:left w:val="nil"/>
                                <w:bottom w:val="single" w:sz="8" w:space="0" w:color="000000"/>
                                <w:right w:val="nil"/>
                              </w:tcBorders>
                              <w:noWrap/>
                              <w:vAlign w:val="center"/>
                              <w:hideMark/>
                            </w:tcPr>
                            <w:p w:rsidR="00FF7E43" w:rsidRDefault="00FF7E43">
                              <w:pPr>
                                <w:jc w:val="right"/>
                                <w:rPr>
                                  <w:rFonts w:ascii="Arial" w:eastAsia="Times New Roman" w:hAnsi="Arial" w:cs="Arial"/>
                                  <w:sz w:val="22"/>
                                  <w:szCs w:val="22"/>
                                </w:rPr>
                              </w:pPr>
                              <w:r>
                                <w:rPr>
                                  <w:rStyle w:val="Voimakas"/>
                                  <w:rFonts w:ascii="Arial" w:eastAsia="Times New Roman" w:hAnsi="Arial" w:cs="Arial"/>
                                  <w:sz w:val="22"/>
                                  <w:szCs w:val="22"/>
                                </w:rPr>
                                <w:t>30.9.13</w:t>
                              </w:r>
                            </w:p>
                          </w:tc>
                          <w:tc>
                            <w:tcPr>
                              <w:tcW w:w="0" w:type="auto"/>
                              <w:tcBorders>
                                <w:top w:val="nil"/>
                                <w:left w:val="nil"/>
                                <w:bottom w:val="single" w:sz="8" w:space="0" w:color="000000"/>
                                <w:right w:val="nil"/>
                              </w:tcBorders>
                              <w:noWrap/>
                              <w:vAlign w:val="center"/>
                              <w:hideMark/>
                            </w:tcPr>
                            <w:p w:rsidR="00FF7E43" w:rsidRDefault="00FF7E43">
                              <w:pPr>
                                <w:jc w:val="right"/>
                                <w:rPr>
                                  <w:rFonts w:ascii="Arial" w:eastAsia="Times New Roman" w:hAnsi="Arial" w:cs="Arial"/>
                                  <w:sz w:val="22"/>
                                  <w:szCs w:val="22"/>
                                </w:rPr>
                              </w:pPr>
                              <w:r>
                                <w:rPr>
                                  <w:rStyle w:val="Voimakas"/>
                                  <w:rFonts w:ascii="Arial" w:eastAsia="Times New Roman" w:hAnsi="Arial" w:cs="Arial"/>
                                  <w:sz w:val="22"/>
                                  <w:szCs w:val="22"/>
                                </w:rPr>
                                <w:t>30.9.12</w:t>
                              </w:r>
                            </w:p>
                          </w:tc>
                          <w:tc>
                            <w:tcPr>
                              <w:tcW w:w="0" w:type="auto"/>
                              <w:tcBorders>
                                <w:top w:val="nil"/>
                                <w:left w:val="nil"/>
                                <w:bottom w:val="single" w:sz="8" w:space="0" w:color="000000"/>
                                <w:right w:val="nil"/>
                              </w:tcBorders>
                              <w:noWrap/>
                              <w:vAlign w:val="center"/>
                              <w:hideMark/>
                            </w:tcPr>
                            <w:p w:rsidR="00FF7E43" w:rsidRDefault="00FF7E43">
                              <w:pPr>
                                <w:jc w:val="right"/>
                                <w:rPr>
                                  <w:rFonts w:ascii="Arial" w:eastAsia="Times New Roman" w:hAnsi="Arial" w:cs="Arial"/>
                                  <w:sz w:val="22"/>
                                  <w:szCs w:val="22"/>
                                </w:rPr>
                              </w:pPr>
                              <w:r>
                                <w:rPr>
                                  <w:rStyle w:val="Voimakas"/>
                                  <w:rFonts w:ascii="Arial" w:eastAsia="Times New Roman" w:hAnsi="Arial" w:cs="Arial"/>
                                  <w:sz w:val="22"/>
                                  <w:szCs w:val="22"/>
                                </w:rPr>
                                <w:t>31.12.12</w:t>
                              </w:r>
                            </w:p>
                          </w:tc>
                        </w:tr>
                        <w:tr w:rsidR="00FF7E43">
                          <w:trPr>
                            <w:tblCellSpacing w:w="0" w:type="dxa"/>
                          </w:trPr>
                          <w:tc>
                            <w:tcPr>
                              <w:tcW w:w="0" w:type="auto"/>
                              <w:vAlign w:val="center"/>
                              <w:hideMark/>
                            </w:tcPr>
                            <w:p w:rsidR="00FF7E43" w:rsidRDefault="00FF7E43">
                              <w:pPr>
                                <w:rPr>
                                  <w:rFonts w:ascii="Arial" w:eastAsia="Times New Roman" w:hAnsi="Arial" w:cs="Arial"/>
                                  <w:sz w:val="22"/>
                                  <w:szCs w:val="22"/>
                                </w:rPr>
                              </w:pPr>
                              <w:r>
                                <w:rPr>
                                  <w:rFonts w:ascii="Arial" w:eastAsia="Times New Roman" w:hAnsi="Arial" w:cs="Arial"/>
                                  <w:sz w:val="22"/>
                                  <w:szCs w:val="22"/>
                                </w:rPr>
                                <w:t> </w:t>
                              </w:r>
                            </w:p>
                          </w:tc>
                          <w:tc>
                            <w:tcPr>
                              <w:tcW w:w="0" w:type="auto"/>
                              <w:vAlign w:val="center"/>
                              <w:hideMark/>
                            </w:tcPr>
                            <w:p w:rsidR="00FF7E43" w:rsidRDefault="00FF7E43">
                              <w:pPr>
                                <w:rPr>
                                  <w:rFonts w:ascii="Arial" w:eastAsia="Times New Roman" w:hAnsi="Arial" w:cs="Arial"/>
                                  <w:sz w:val="22"/>
                                  <w:szCs w:val="22"/>
                                </w:rPr>
                              </w:pPr>
                              <w:r>
                                <w:rPr>
                                  <w:rFonts w:ascii="Arial" w:eastAsia="Times New Roman" w:hAnsi="Arial" w:cs="Arial"/>
                                  <w:sz w:val="22"/>
                                  <w:szCs w:val="22"/>
                                </w:rPr>
                                <w:t> </w:t>
                              </w:r>
                            </w:p>
                          </w:tc>
                          <w:tc>
                            <w:tcPr>
                              <w:tcW w:w="0" w:type="auto"/>
                              <w:vAlign w:val="center"/>
                              <w:hideMark/>
                            </w:tcPr>
                            <w:p w:rsidR="00FF7E43" w:rsidRDefault="00FF7E43">
                              <w:pPr>
                                <w:rPr>
                                  <w:rFonts w:ascii="Arial" w:eastAsia="Times New Roman" w:hAnsi="Arial" w:cs="Arial"/>
                                  <w:sz w:val="22"/>
                                  <w:szCs w:val="22"/>
                                </w:rPr>
                              </w:pPr>
                              <w:r>
                                <w:rPr>
                                  <w:rFonts w:ascii="Arial" w:eastAsia="Times New Roman" w:hAnsi="Arial" w:cs="Arial"/>
                                  <w:sz w:val="22"/>
                                  <w:szCs w:val="22"/>
                                </w:rPr>
                                <w:t> </w:t>
                              </w:r>
                            </w:p>
                          </w:tc>
                          <w:tc>
                            <w:tcPr>
                              <w:tcW w:w="0" w:type="auto"/>
                              <w:vAlign w:val="center"/>
                              <w:hideMark/>
                            </w:tcPr>
                            <w:p w:rsidR="00FF7E43" w:rsidRDefault="00FF7E43">
                              <w:pPr>
                                <w:rPr>
                                  <w:rFonts w:ascii="Arial" w:eastAsia="Times New Roman" w:hAnsi="Arial" w:cs="Arial"/>
                                  <w:sz w:val="22"/>
                                  <w:szCs w:val="22"/>
                                </w:rPr>
                              </w:pPr>
                              <w:r>
                                <w:rPr>
                                  <w:rFonts w:ascii="Arial" w:eastAsia="Times New Roman" w:hAnsi="Arial" w:cs="Arial"/>
                                  <w:sz w:val="22"/>
                                  <w:szCs w:val="22"/>
                                </w:rPr>
                                <w:t> </w:t>
                              </w:r>
                            </w:p>
                          </w:tc>
                        </w:tr>
                        <w:tr w:rsidR="00FF7E43">
                          <w:trPr>
                            <w:tblCellSpacing w:w="0" w:type="dxa"/>
                          </w:trPr>
                          <w:tc>
                            <w:tcPr>
                              <w:tcW w:w="0" w:type="auto"/>
                              <w:vAlign w:val="center"/>
                              <w:hideMark/>
                            </w:tcPr>
                            <w:p w:rsidR="00FF7E43" w:rsidRDefault="00FF7E43">
                              <w:pPr>
                                <w:rPr>
                                  <w:rFonts w:ascii="Arial" w:eastAsia="Times New Roman" w:hAnsi="Arial" w:cs="Arial"/>
                                  <w:sz w:val="22"/>
                                  <w:szCs w:val="22"/>
                                </w:rPr>
                              </w:pPr>
                              <w:r>
                                <w:rPr>
                                  <w:rFonts w:ascii="Arial" w:eastAsia="Times New Roman" w:hAnsi="Arial" w:cs="Arial"/>
                                  <w:sz w:val="22"/>
                                  <w:szCs w:val="22"/>
                                </w:rPr>
                                <w:t>Oma pääoma/osake, EUR</w:t>
                              </w:r>
                            </w:p>
                          </w:tc>
                          <w:tc>
                            <w:tcPr>
                              <w:tcW w:w="0" w:type="auto"/>
                              <w:noWrap/>
                              <w:vAlign w:val="center"/>
                              <w:hideMark/>
                            </w:tcPr>
                            <w:p w:rsidR="00FF7E43" w:rsidRDefault="00FF7E43">
                              <w:pPr>
                                <w:jc w:val="right"/>
                                <w:rPr>
                                  <w:rFonts w:ascii="Arial" w:eastAsia="Times New Roman" w:hAnsi="Arial" w:cs="Arial"/>
                                  <w:sz w:val="22"/>
                                  <w:szCs w:val="22"/>
                                </w:rPr>
                              </w:pPr>
                              <w:r>
                                <w:rPr>
                                  <w:rFonts w:ascii="Arial" w:eastAsia="Times New Roman" w:hAnsi="Arial" w:cs="Arial"/>
                                  <w:sz w:val="22"/>
                                  <w:szCs w:val="22"/>
                                </w:rPr>
                                <w:t>14,26</w:t>
                              </w:r>
                            </w:p>
                          </w:tc>
                          <w:tc>
                            <w:tcPr>
                              <w:tcW w:w="0" w:type="auto"/>
                              <w:noWrap/>
                              <w:vAlign w:val="center"/>
                              <w:hideMark/>
                            </w:tcPr>
                            <w:p w:rsidR="00FF7E43" w:rsidRDefault="00FF7E43">
                              <w:pPr>
                                <w:jc w:val="right"/>
                                <w:rPr>
                                  <w:rFonts w:ascii="Arial" w:eastAsia="Times New Roman" w:hAnsi="Arial" w:cs="Arial"/>
                                  <w:sz w:val="22"/>
                                  <w:szCs w:val="22"/>
                                </w:rPr>
                              </w:pPr>
                              <w:r>
                                <w:rPr>
                                  <w:rFonts w:ascii="Arial" w:eastAsia="Times New Roman" w:hAnsi="Arial" w:cs="Arial"/>
                                  <w:sz w:val="22"/>
                                  <w:szCs w:val="22"/>
                                </w:rPr>
                                <w:t>15,07</w:t>
                              </w:r>
                            </w:p>
                          </w:tc>
                          <w:tc>
                            <w:tcPr>
                              <w:tcW w:w="0" w:type="auto"/>
                              <w:noWrap/>
                              <w:vAlign w:val="center"/>
                              <w:hideMark/>
                            </w:tcPr>
                            <w:p w:rsidR="00FF7E43" w:rsidRDefault="00FF7E43">
                              <w:pPr>
                                <w:jc w:val="right"/>
                                <w:rPr>
                                  <w:rFonts w:ascii="Arial" w:eastAsia="Times New Roman" w:hAnsi="Arial" w:cs="Arial"/>
                                  <w:sz w:val="22"/>
                                  <w:szCs w:val="22"/>
                                </w:rPr>
                              </w:pPr>
                              <w:r>
                                <w:rPr>
                                  <w:rFonts w:ascii="Arial" w:eastAsia="Times New Roman" w:hAnsi="Arial" w:cs="Arial"/>
                                  <w:sz w:val="22"/>
                                  <w:szCs w:val="22"/>
                                </w:rPr>
                                <w:t>15,15</w:t>
                              </w:r>
                            </w:p>
                          </w:tc>
                        </w:tr>
                        <w:tr w:rsidR="00FF7E43">
                          <w:trPr>
                            <w:tblCellSpacing w:w="0" w:type="dxa"/>
                          </w:trPr>
                          <w:tc>
                            <w:tcPr>
                              <w:tcW w:w="0" w:type="auto"/>
                              <w:vAlign w:val="center"/>
                              <w:hideMark/>
                            </w:tcPr>
                            <w:p w:rsidR="00FF7E43" w:rsidRDefault="00FF7E43">
                              <w:pPr>
                                <w:rPr>
                                  <w:rFonts w:ascii="Arial" w:eastAsia="Times New Roman" w:hAnsi="Arial" w:cs="Arial"/>
                                  <w:sz w:val="22"/>
                                  <w:szCs w:val="22"/>
                                </w:rPr>
                              </w:pPr>
                              <w:r>
                                <w:rPr>
                                  <w:rFonts w:ascii="Arial" w:eastAsia="Times New Roman" w:hAnsi="Arial" w:cs="Arial"/>
                                  <w:sz w:val="22"/>
                                  <w:szCs w:val="22"/>
                                </w:rPr>
                                <w:t>Korolliset velat</w:t>
                              </w:r>
                            </w:p>
                          </w:tc>
                          <w:tc>
                            <w:tcPr>
                              <w:tcW w:w="0" w:type="auto"/>
                              <w:noWrap/>
                              <w:vAlign w:val="center"/>
                              <w:hideMark/>
                            </w:tcPr>
                            <w:p w:rsidR="00FF7E43" w:rsidRDefault="00FF7E43">
                              <w:pPr>
                                <w:jc w:val="right"/>
                                <w:rPr>
                                  <w:rFonts w:ascii="Arial" w:eastAsia="Times New Roman" w:hAnsi="Arial" w:cs="Arial"/>
                                  <w:sz w:val="22"/>
                                  <w:szCs w:val="22"/>
                                </w:rPr>
                              </w:pPr>
                              <w:r>
                                <w:rPr>
                                  <w:rFonts w:ascii="Arial" w:eastAsia="Times New Roman" w:hAnsi="Arial" w:cs="Arial"/>
                                  <w:sz w:val="22"/>
                                  <w:szCs w:val="22"/>
                                </w:rPr>
                                <w:t>361,0</w:t>
                              </w:r>
                            </w:p>
                          </w:tc>
                          <w:tc>
                            <w:tcPr>
                              <w:tcW w:w="0" w:type="auto"/>
                              <w:noWrap/>
                              <w:vAlign w:val="center"/>
                              <w:hideMark/>
                            </w:tcPr>
                            <w:p w:rsidR="00FF7E43" w:rsidRDefault="00FF7E43">
                              <w:pPr>
                                <w:jc w:val="right"/>
                                <w:rPr>
                                  <w:rFonts w:ascii="Arial" w:eastAsia="Times New Roman" w:hAnsi="Arial" w:cs="Arial"/>
                                  <w:sz w:val="22"/>
                                  <w:szCs w:val="22"/>
                                </w:rPr>
                              </w:pPr>
                              <w:r>
                                <w:rPr>
                                  <w:rFonts w:ascii="Arial" w:eastAsia="Times New Roman" w:hAnsi="Arial" w:cs="Arial"/>
                                  <w:sz w:val="22"/>
                                  <w:szCs w:val="22"/>
                                </w:rPr>
                                <w:t>425,8</w:t>
                              </w:r>
                            </w:p>
                          </w:tc>
                          <w:tc>
                            <w:tcPr>
                              <w:tcW w:w="0" w:type="auto"/>
                              <w:noWrap/>
                              <w:vAlign w:val="center"/>
                              <w:hideMark/>
                            </w:tcPr>
                            <w:p w:rsidR="00FF7E43" w:rsidRDefault="00FF7E43">
                              <w:pPr>
                                <w:jc w:val="right"/>
                                <w:rPr>
                                  <w:rFonts w:ascii="Arial" w:eastAsia="Times New Roman" w:hAnsi="Arial" w:cs="Arial"/>
                                  <w:sz w:val="22"/>
                                  <w:szCs w:val="22"/>
                                </w:rPr>
                              </w:pPr>
                              <w:r>
                                <w:rPr>
                                  <w:rFonts w:ascii="Arial" w:eastAsia="Times New Roman" w:hAnsi="Arial" w:cs="Arial"/>
                                  <w:sz w:val="22"/>
                                  <w:szCs w:val="22"/>
                                </w:rPr>
                                <w:t>370,5</w:t>
                              </w:r>
                            </w:p>
                          </w:tc>
                        </w:tr>
                        <w:tr w:rsidR="00FF7E43">
                          <w:trPr>
                            <w:tblCellSpacing w:w="0" w:type="dxa"/>
                          </w:trPr>
                          <w:tc>
                            <w:tcPr>
                              <w:tcW w:w="0" w:type="auto"/>
                              <w:vAlign w:val="center"/>
                              <w:hideMark/>
                            </w:tcPr>
                            <w:p w:rsidR="00FF7E43" w:rsidRDefault="00FF7E43">
                              <w:pPr>
                                <w:rPr>
                                  <w:rFonts w:ascii="Arial" w:eastAsia="Times New Roman" w:hAnsi="Arial" w:cs="Arial"/>
                                  <w:sz w:val="22"/>
                                  <w:szCs w:val="22"/>
                                </w:rPr>
                              </w:pPr>
                              <w:r>
                                <w:rPr>
                                  <w:rFonts w:ascii="Arial" w:eastAsia="Times New Roman" w:hAnsi="Arial" w:cs="Arial"/>
                                  <w:sz w:val="22"/>
                                  <w:szCs w:val="22"/>
                                </w:rPr>
                                <w:lastRenderedPageBreak/>
                                <w:t>Omavaraisuusaste, %</w:t>
                              </w:r>
                            </w:p>
                          </w:tc>
                          <w:tc>
                            <w:tcPr>
                              <w:tcW w:w="0" w:type="auto"/>
                              <w:noWrap/>
                              <w:vAlign w:val="center"/>
                              <w:hideMark/>
                            </w:tcPr>
                            <w:p w:rsidR="00FF7E43" w:rsidRDefault="00FF7E43">
                              <w:pPr>
                                <w:jc w:val="right"/>
                                <w:rPr>
                                  <w:rFonts w:ascii="Arial" w:eastAsia="Times New Roman" w:hAnsi="Arial" w:cs="Arial"/>
                                  <w:sz w:val="22"/>
                                  <w:szCs w:val="22"/>
                                </w:rPr>
                              </w:pPr>
                              <w:r>
                                <w:rPr>
                                  <w:rFonts w:ascii="Arial" w:eastAsia="Times New Roman" w:hAnsi="Arial" w:cs="Arial"/>
                                  <w:sz w:val="22"/>
                                  <w:szCs w:val="22"/>
                                </w:rPr>
                                <w:t>40,9</w:t>
                              </w:r>
                            </w:p>
                          </w:tc>
                          <w:tc>
                            <w:tcPr>
                              <w:tcW w:w="0" w:type="auto"/>
                              <w:noWrap/>
                              <w:vAlign w:val="center"/>
                              <w:hideMark/>
                            </w:tcPr>
                            <w:p w:rsidR="00FF7E43" w:rsidRDefault="00FF7E43">
                              <w:pPr>
                                <w:jc w:val="right"/>
                                <w:rPr>
                                  <w:rFonts w:ascii="Arial" w:eastAsia="Times New Roman" w:hAnsi="Arial" w:cs="Arial"/>
                                  <w:sz w:val="22"/>
                                  <w:szCs w:val="22"/>
                                </w:rPr>
                              </w:pPr>
                              <w:r>
                                <w:rPr>
                                  <w:rFonts w:ascii="Arial" w:eastAsia="Times New Roman" w:hAnsi="Arial" w:cs="Arial"/>
                                  <w:sz w:val="22"/>
                                  <w:szCs w:val="22"/>
                                </w:rPr>
                                <w:t>39,4</w:t>
                              </w:r>
                            </w:p>
                          </w:tc>
                          <w:tc>
                            <w:tcPr>
                              <w:tcW w:w="0" w:type="auto"/>
                              <w:noWrap/>
                              <w:vAlign w:val="center"/>
                              <w:hideMark/>
                            </w:tcPr>
                            <w:p w:rsidR="00FF7E43" w:rsidRDefault="00FF7E43">
                              <w:pPr>
                                <w:jc w:val="right"/>
                                <w:rPr>
                                  <w:rFonts w:ascii="Arial" w:eastAsia="Times New Roman" w:hAnsi="Arial" w:cs="Arial"/>
                                  <w:sz w:val="22"/>
                                  <w:szCs w:val="22"/>
                                </w:rPr>
                              </w:pPr>
                              <w:r>
                                <w:rPr>
                                  <w:rFonts w:ascii="Arial" w:eastAsia="Times New Roman" w:hAnsi="Arial" w:cs="Arial"/>
                                  <w:sz w:val="22"/>
                                  <w:szCs w:val="22"/>
                                </w:rPr>
                                <w:t>41,5</w:t>
                              </w:r>
                            </w:p>
                          </w:tc>
                        </w:tr>
                        <w:tr w:rsidR="00FF7E43">
                          <w:trPr>
                            <w:tblCellSpacing w:w="0" w:type="dxa"/>
                          </w:trPr>
                          <w:tc>
                            <w:tcPr>
                              <w:tcW w:w="0" w:type="auto"/>
                              <w:vAlign w:val="center"/>
                              <w:hideMark/>
                            </w:tcPr>
                            <w:p w:rsidR="00FF7E43" w:rsidRDefault="00FF7E43">
                              <w:pPr>
                                <w:rPr>
                                  <w:rFonts w:ascii="Arial" w:eastAsia="Times New Roman" w:hAnsi="Arial" w:cs="Arial"/>
                                  <w:sz w:val="22"/>
                                  <w:szCs w:val="22"/>
                                </w:rPr>
                              </w:pPr>
                              <w:r>
                                <w:rPr>
                                  <w:rFonts w:ascii="Arial" w:eastAsia="Times New Roman" w:hAnsi="Arial" w:cs="Arial"/>
                                  <w:sz w:val="22"/>
                                  <w:szCs w:val="22"/>
                                </w:rPr>
                                <w:t>Velkaantumisaste, %</w:t>
                              </w:r>
                            </w:p>
                          </w:tc>
                          <w:tc>
                            <w:tcPr>
                              <w:tcW w:w="0" w:type="auto"/>
                              <w:noWrap/>
                              <w:vAlign w:val="center"/>
                              <w:hideMark/>
                            </w:tcPr>
                            <w:p w:rsidR="00FF7E43" w:rsidRDefault="00FF7E43">
                              <w:pPr>
                                <w:jc w:val="right"/>
                                <w:rPr>
                                  <w:rFonts w:ascii="Arial" w:eastAsia="Times New Roman" w:hAnsi="Arial" w:cs="Arial"/>
                                  <w:sz w:val="22"/>
                                  <w:szCs w:val="22"/>
                                </w:rPr>
                              </w:pPr>
                              <w:r>
                                <w:rPr>
                                  <w:rFonts w:ascii="Arial" w:eastAsia="Times New Roman" w:hAnsi="Arial" w:cs="Arial"/>
                                  <w:sz w:val="22"/>
                                  <w:szCs w:val="22"/>
                                </w:rPr>
                                <w:t>88,7</w:t>
                              </w:r>
                            </w:p>
                          </w:tc>
                          <w:tc>
                            <w:tcPr>
                              <w:tcW w:w="0" w:type="auto"/>
                              <w:noWrap/>
                              <w:vAlign w:val="center"/>
                              <w:hideMark/>
                            </w:tcPr>
                            <w:p w:rsidR="00FF7E43" w:rsidRDefault="00FF7E43">
                              <w:pPr>
                                <w:jc w:val="right"/>
                                <w:rPr>
                                  <w:rFonts w:ascii="Arial" w:eastAsia="Times New Roman" w:hAnsi="Arial" w:cs="Arial"/>
                                  <w:sz w:val="22"/>
                                  <w:szCs w:val="22"/>
                                </w:rPr>
                              </w:pPr>
                              <w:r>
                                <w:rPr>
                                  <w:rFonts w:ascii="Arial" w:eastAsia="Times New Roman" w:hAnsi="Arial" w:cs="Arial"/>
                                  <w:sz w:val="22"/>
                                  <w:szCs w:val="22"/>
                                </w:rPr>
                                <w:t>99,2</w:t>
                              </w:r>
                            </w:p>
                          </w:tc>
                          <w:tc>
                            <w:tcPr>
                              <w:tcW w:w="0" w:type="auto"/>
                              <w:noWrap/>
                              <w:vAlign w:val="center"/>
                              <w:hideMark/>
                            </w:tcPr>
                            <w:p w:rsidR="00FF7E43" w:rsidRDefault="00FF7E43">
                              <w:pPr>
                                <w:jc w:val="right"/>
                                <w:rPr>
                                  <w:rFonts w:ascii="Arial" w:eastAsia="Times New Roman" w:hAnsi="Arial" w:cs="Arial"/>
                                  <w:sz w:val="22"/>
                                  <w:szCs w:val="22"/>
                                </w:rPr>
                              </w:pPr>
                              <w:r>
                                <w:rPr>
                                  <w:rFonts w:ascii="Arial" w:eastAsia="Times New Roman" w:hAnsi="Arial" w:cs="Arial"/>
                                  <w:sz w:val="22"/>
                                  <w:szCs w:val="22"/>
                                </w:rPr>
                                <w:t>85,9</w:t>
                              </w:r>
                            </w:p>
                          </w:tc>
                        </w:tr>
                        <w:tr w:rsidR="00FF7E43">
                          <w:trPr>
                            <w:tblCellSpacing w:w="0" w:type="dxa"/>
                          </w:trPr>
                          <w:tc>
                            <w:tcPr>
                              <w:tcW w:w="0" w:type="auto"/>
                              <w:vAlign w:val="center"/>
                              <w:hideMark/>
                            </w:tcPr>
                            <w:p w:rsidR="00FF7E43" w:rsidRDefault="00FF7E43">
                              <w:pPr>
                                <w:rPr>
                                  <w:rFonts w:ascii="Arial" w:eastAsia="Times New Roman" w:hAnsi="Arial" w:cs="Arial"/>
                                  <w:sz w:val="22"/>
                                  <w:szCs w:val="22"/>
                                </w:rPr>
                              </w:pPr>
                              <w:r>
                                <w:rPr>
                                  <w:rFonts w:ascii="Arial" w:eastAsia="Times New Roman" w:hAnsi="Arial" w:cs="Arial"/>
                                  <w:sz w:val="22"/>
                                  <w:szCs w:val="22"/>
                                </w:rPr>
                                <w:t>Nettovelkaantumisaste, %</w:t>
                              </w:r>
                            </w:p>
                          </w:tc>
                          <w:tc>
                            <w:tcPr>
                              <w:tcW w:w="0" w:type="auto"/>
                              <w:noWrap/>
                              <w:vAlign w:val="center"/>
                              <w:hideMark/>
                            </w:tcPr>
                            <w:p w:rsidR="00FF7E43" w:rsidRDefault="00FF7E43">
                              <w:pPr>
                                <w:jc w:val="right"/>
                                <w:rPr>
                                  <w:rFonts w:ascii="Arial" w:eastAsia="Times New Roman" w:hAnsi="Arial" w:cs="Arial"/>
                                  <w:sz w:val="22"/>
                                  <w:szCs w:val="22"/>
                                </w:rPr>
                              </w:pPr>
                              <w:r>
                                <w:rPr>
                                  <w:rFonts w:ascii="Arial" w:eastAsia="Times New Roman" w:hAnsi="Arial" w:cs="Arial"/>
                                  <w:sz w:val="22"/>
                                  <w:szCs w:val="22"/>
                                </w:rPr>
                                <w:t>84,5</w:t>
                              </w:r>
                            </w:p>
                          </w:tc>
                          <w:tc>
                            <w:tcPr>
                              <w:tcW w:w="0" w:type="auto"/>
                              <w:noWrap/>
                              <w:vAlign w:val="center"/>
                              <w:hideMark/>
                            </w:tcPr>
                            <w:p w:rsidR="00FF7E43" w:rsidRDefault="00FF7E43">
                              <w:pPr>
                                <w:jc w:val="right"/>
                                <w:rPr>
                                  <w:rFonts w:ascii="Arial" w:eastAsia="Times New Roman" w:hAnsi="Arial" w:cs="Arial"/>
                                  <w:sz w:val="22"/>
                                  <w:szCs w:val="22"/>
                                </w:rPr>
                              </w:pPr>
                              <w:r>
                                <w:rPr>
                                  <w:rFonts w:ascii="Arial" w:eastAsia="Times New Roman" w:hAnsi="Arial" w:cs="Arial"/>
                                  <w:sz w:val="22"/>
                                  <w:szCs w:val="22"/>
                                </w:rPr>
                                <w:t>97,4</w:t>
                              </w:r>
                            </w:p>
                          </w:tc>
                          <w:tc>
                            <w:tcPr>
                              <w:tcW w:w="0" w:type="auto"/>
                              <w:noWrap/>
                              <w:vAlign w:val="center"/>
                              <w:hideMark/>
                            </w:tcPr>
                            <w:p w:rsidR="00FF7E43" w:rsidRDefault="00FF7E43">
                              <w:pPr>
                                <w:jc w:val="right"/>
                                <w:rPr>
                                  <w:rFonts w:ascii="Arial" w:eastAsia="Times New Roman" w:hAnsi="Arial" w:cs="Arial"/>
                                  <w:sz w:val="22"/>
                                  <w:szCs w:val="22"/>
                                </w:rPr>
                              </w:pPr>
                              <w:r>
                                <w:rPr>
                                  <w:rFonts w:ascii="Arial" w:eastAsia="Times New Roman" w:hAnsi="Arial" w:cs="Arial"/>
                                  <w:sz w:val="22"/>
                                  <w:szCs w:val="22"/>
                                </w:rPr>
                                <w:t>84,3</w:t>
                              </w:r>
                            </w:p>
                          </w:tc>
                        </w:tr>
                        <w:tr w:rsidR="00FF7E43">
                          <w:trPr>
                            <w:tblCellSpacing w:w="0" w:type="dxa"/>
                          </w:trPr>
                          <w:tc>
                            <w:tcPr>
                              <w:tcW w:w="0" w:type="auto"/>
                              <w:vAlign w:val="center"/>
                              <w:hideMark/>
                            </w:tcPr>
                            <w:p w:rsidR="00FF7E43" w:rsidRDefault="00FF7E43">
                              <w:pPr>
                                <w:rPr>
                                  <w:rFonts w:ascii="Arial" w:eastAsia="Times New Roman" w:hAnsi="Arial" w:cs="Arial"/>
                                  <w:sz w:val="22"/>
                                  <w:szCs w:val="22"/>
                                </w:rPr>
                              </w:pPr>
                              <w:r>
                                <w:rPr>
                                  <w:rFonts w:ascii="Arial" w:eastAsia="Times New Roman" w:hAnsi="Arial" w:cs="Arial"/>
                                  <w:sz w:val="22"/>
                                  <w:szCs w:val="22"/>
                                </w:rPr>
                                <w:t>Bruttoinvestoinnit pysyviin vastaaviin</w:t>
                              </w:r>
                            </w:p>
                          </w:tc>
                          <w:tc>
                            <w:tcPr>
                              <w:tcW w:w="0" w:type="auto"/>
                              <w:noWrap/>
                              <w:vAlign w:val="center"/>
                              <w:hideMark/>
                            </w:tcPr>
                            <w:p w:rsidR="00FF7E43" w:rsidRDefault="00FF7E43">
                              <w:pPr>
                                <w:jc w:val="right"/>
                                <w:rPr>
                                  <w:rFonts w:ascii="Arial" w:eastAsia="Times New Roman" w:hAnsi="Arial" w:cs="Arial"/>
                                  <w:sz w:val="22"/>
                                  <w:szCs w:val="22"/>
                                </w:rPr>
                              </w:pPr>
                              <w:r>
                                <w:rPr>
                                  <w:rFonts w:ascii="Arial" w:eastAsia="Times New Roman" w:hAnsi="Arial" w:cs="Arial"/>
                                  <w:sz w:val="22"/>
                                  <w:szCs w:val="22"/>
                                </w:rPr>
                                <w:t>29,2</w:t>
                              </w:r>
                            </w:p>
                          </w:tc>
                          <w:tc>
                            <w:tcPr>
                              <w:tcW w:w="0" w:type="auto"/>
                              <w:noWrap/>
                              <w:vAlign w:val="center"/>
                              <w:hideMark/>
                            </w:tcPr>
                            <w:p w:rsidR="00FF7E43" w:rsidRDefault="00FF7E43">
                              <w:pPr>
                                <w:jc w:val="right"/>
                                <w:rPr>
                                  <w:rFonts w:ascii="Arial" w:eastAsia="Times New Roman" w:hAnsi="Arial" w:cs="Arial"/>
                                  <w:sz w:val="22"/>
                                  <w:szCs w:val="22"/>
                                </w:rPr>
                              </w:pPr>
                              <w:r>
                                <w:rPr>
                                  <w:rFonts w:ascii="Arial" w:eastAsia="Times New Roman" w:hAnsi="Arial" w:cs="Arial"/>
                                  <w:sz w:val="22"/>
                                  <w:szCs w:val="22"/>
                                </w:rPr>
                                <w:t>41,2</w:t>
                              </w:r>
                            </w:p>
                          </w:tc>
                          <w:tc>
                            <w:tcPr>
                              <w:tcW w:w="0" w:type="auto"/>
                              <w:noWrap/>
                              <w:vAlign w:val="center"/>
                              <w:hideMark/>
                            </w:tcPr>
                            <w:p w:rsidR="00FF7E43" w:rsidRDefault="00FF7E43">
                              <w:pPr>
                                <w:jc w:val="right"/>
                                <w:rPr>
                                  <w:rFonts w:ascii="Arial" w:eastAsia="Times New Roman" w:hAnsi="Arial" w:cs="Arial"/>
                                  <w:sz w:val="22"/>
                                  <w:szCs w:val="22"/>
                                </w:rPr>
                              </w:pPr>
                              <w:r>
                                <w:rPr>
                                  <w:rFonts w:ascii="Arial" w:eastAsia="Times New Roman" w:hAnsi="Arial" w:cs="Arial"/>
                                  <w:sz w:val="22"/>
                                  <w:szCs w:val="22"/>
                                </w:rPr>
                                <w:t>56,2</w:t>
                              </w:r>
                            </w:p>
                          </w:tc>
                        </w:tr>
                        <w:tr w:rsidR="00FF7E43">
                          <w:trPr>
                            <w:tblCellSpacing w:w="0" w:type="dxa"/>
                          </w:trPr>
                          <w:tc>
                            <w:tcPr>
                              <w:tcW w:w="0" w:type="auto"/>
                              <w:vAlign w:val="center"/>
                              <w:hideMark/>
                            </w:tcPr>
                            <w:p w:rsidR="00FF7E43" w:rsidRDefault="00FF7E43">
                              <w:pPr>
                                <w:rPr>
                                  <w:rFonts w:ascii="Arial" w:eastAsia="Times New Roman" w:hAnsi="Arial" w:cs="Arial"/>
                                  <w:sz w:val="22"/>
                                  <w:szCs w:val="22"/>
                                </w:rPr>
                              </w:pPr>
                              <w:r>
                                <w:rPr>
                                  <w:rFonts w:ascii="Arial" w:eastAsia="Times New Roman" w:hAnsi="Arial" w:cs="Arial"/>
                                  <w:sz w:val="22"/>
                                  <w:szCs w:val="22"/>
                                </w:rPr>
                                <w:t>Bruttoinvestoinnit liikevaihdosta, %</w:t>
                              </w:r>
                            </w:p>
                          </w:tc>
                          <w:tc>
                            <w:tcPr>
                              <w:tcW w:w="0" w:type="auto"/>
                              <w:noWrap/>
                              <w:vAlign w:val="center"/>
                              <w:hideMark/>
                            </w:tcPr>
                            <w:p w:rsidR="00FF7E43" w:rsidRDefault="00FF7E43">
                              <w:pPr>
                                <w:jc w:val="right"/>
                                <w:rPr>
                                  <w:rFonts w:ascii="Arial" w:eastAsia="Times New Roman" w:hAnsi="Arial" w:cs="Arial"/>
                                  <w:sz w:val="22"/>
                                  <w:szCs w:val="22"/>
                                </w:rPr>
                              </w:pPr>
                              <w:r>
                                <w:rPr>
                                  <w:rFonts w:ascii="Arial" w:eastAsia="Times New Roman" w:hAnsi="Arial" w:cs="Arial"/>
                                  <w:sz w:val="22"/>
                                  <w:szCs w:val="22"/>
                                </w:rPr>
                                <w:t>2,8</w:t>
                              </w:r>
                            </w:p>
                          </w:tc>
                          <w:tc>
                            <w:tcPr>
                              <w:tcW w:w="0" w:type="auto"/>
                              <w:noWrap/>
                              <w:vAlign w:val="center"/>
                              <w:hideMark/>
                            </w:tcPr>
                            <w:p w:rsidR="00FF7E43" w:rsidRDefault="00FF7E43">
                              <w:pPr>
                                <w:jc w:val="right"/>
                                <w:rPr>
                                  <w:rFonts w:ascii="Arial" w:eastAsia="Times New Roman" w:hAnsi="Arial" w:cs="Arial"/>
                                  <w:sz w:val="22"/>
                                  <w:szCs w:val="22"/>
                                </w:rPr>
                              </w:pPr>
                              <w:r>
                                <w:rPr>
                                  <w:rFonts w:ascii="Arial" w:eastAsia="Times New Roman" w:hAnsi="Arial" w:cs="Arial"/>
                                  <w:sz w:val="22"/>
                                  <w:szCs w:val="22"/>
                                </w:rPr>
                                <w:t>4,2</w:t>
                              </w:r>
                            </w:p>
                          </w:tc>
                          <w:tc>
                            <w:tcPr>
                              <w:tcW w:w="0" w:type="auto"/>
                              <w:noWrap/>
                              <w:vAlign w:val="center"/>
                              <w:hideMark/>
                            </w:tcPr>
                            <w:p w:rsidR="00FF7E43" w:rsidRDefault="00FF7E43">
                              <w:pPr>
                                <w:jc w:val="right"/>
                                <w:rPr>
                                  <w:rFonts w:ascii="Arial" w:eastAsia="Times New Roman" w:hAnsi="Arial" w:cs="Arial"/>
                                  <w:sz w:val="22"/>
                                  <w:szCs w:val="22"/>
                                </w:rPr>
                              </w:pPr>
                              <w:r>
                                <w:rPr>
                                  <w:rFonts w:ascii="Arial" w:eastAsia="Times New Roman" w:hAnsi="Arial" w:cs="Arial"/>
                                  <w:sz w:val="22"/>
                                  <w:szCs w:val="22"/>
                                </w:rPr>
                                <w:t>4,2</w:t>
                              </w:r>
                            </w:p>
                          </w:tc>
                        </w:tr>
                        <w:tr w:rsidR="00FF7E43">
                          <w:trPr>
                            <w:tblCellSpacing w:w="0" w:type="dxa"/>
                          </w:trPr>
                          <w:tc>
                            <w:tcPr>
                              <w:tcW w:w="0" w:type="auto"/>
                              <w:vAlign w:val="center"/>
                              <w:hideMark/>
                            </w:tcPr>
                            <w:p w:rsidR="00FF7E43" w:rsidRDefault="00FF7E43">
                              <w:pPr>
                                <w:rPr>
                                  <w:rFonts w:ascii="Arial" w:eastAsia="Times New Roman" w:hAnsi="Arial" w:cs="Arial"/>
                                  <w:sz w:val="22"/>
                                  <w:szCs w:val="22"/>
                                </w:rPr>
                              </w:pPr>
                              <w:r>
                                <w:rPr>
                                  <w:rFonts w:ascii="Arial" w:eastAsia="Times New Roman" w:hAnsi="Arial" w:cs="Arial"/>
                                  <w:sz w:val="22"/>
                                  <w:szCs w:val="22"/>
                                </w:rPr>
                                <w:t>Henkilöstö keskimäärin</w:t>
                              </w:r>
                            </w:p>
                          </w:tc>
                          <w:tc>
                            <w:tcPr>
                              <w:tcW w:w="0" w:type="auto"/>
                              <w:noWrap/>
                              <w:vAlign w:val="center"/>
                              <w:hideMark/>
                            </w:tcPr>
                            <w:p w:rsidR="00FF7E43" w:rsidRDefault="00FF7E43">
                              <w:pPr>
                                <w:jc w:val="right"/>
                                <w:rPr>
                                  <w:rFonts w:ascii="Arial" w:eastAsia="Times New Roman" w:hAnsi="Arial" w:cs="Arial"/>
                                  <w:sz w:val="22"/>
                                  <w:szCs w:val="22"/>
                                </w:rPr>
                              </w:pPr>
                              <w:r>
                                <w:rPr>
                                  <w:rFonts w:ascii="Arial" w:eastAsia="Times New Roman" w:hAnsi="Arial" w:cs="Arial"/>
                                  <w:sz w:val="22"/>
                                  <w:szCs w:val="22"/>
                                </w:rPr>
                                <w:t>4 688</w:t>
                              </w:r>
                            </w:p>
                          </w:tc>
                          <w:tc>
                            <w:tcPr>
                              <w:tcW w:w="0" w:type="auto"/>
                              <w:noWrap/>
                              <w:vAlign w:val="center"/>
                              <w:hideMark/>
                            </w:tcPr>
                            <w:p w:rsidR="00FF7E43" w:rsidRDefault="00FF7E43">
                              <w:pPr>
                                <w:jc w:val="right"/>
                                <w:rPr>
                                  <w:rFonts w:ascii="Arial" w:eastAsia="Times New Roman" w:hAnsi="Arial" w:cs="Arial"/>
                                  <w:sz w:val="22"/>
                                  <w:szCs w:val="22"/>
                                </w:rPr>
                              </w:pPr>
                              <w:r>
                                <w:rPr>
                                  <w:rFonts w:ascii="Arial" w:eastAsia="Times New Roman" w:hAnsi="Arial" w:cs="Arial"/>
                                  <w:sz w:val="22"/>
                                  <w:szCs w:val="22"/>
                                </w:rPr>
                                <w:t>4 927</w:t>
                              </w:r>
                            </w:p>
                          </w:tc>
                          <w:tc>
                            <w:tcPr>
                              <w:tcW w:w="0" w:type="auto"/>
                              <w:noWrap/>
                              <w:vAlign w:val="center"/>
                              <w:hideMark/>
                            </w:tcPr>
                            <w:p w:rsidR="00FF7E43" w:rsidRDefault="00FF7E43">
                              <w:pPr>
                                <w:jc w:val="right"/>
                                <w:rPr>
                                  <w:rFonts w:ascii="Arial" w:eastAsia="Times New Roman" w:hAnsi="Arial" w:cs="Arial"/>
                                  <w:sz w:val="22"/>
                                  <w:szCs w:val="22"/>
                                </w:rPr>
                              </w:pPr>
                              <w:r>
                                <w:rPr>
                                  <w:rFonts w:ascii="Arial" w:eastAsia="Times New Roman" w:hAnsi="Arial" w:cs="Arial"/>
                                  <w:sz w:val="22"/>
                                  <w:szCs w:val="22"/>
                                </w:rPr>
                                <w:t>4 898</w:t>
                              </w:r>
                            </w:p>
                          </w:tc>
                        </w:tr>
                      </w:tbl>
                      <w:p w:rsidR="00FF7E43" w:rsidRDefault="00FF7E43">
                        <w:pPr>
                          <w:pStyle w:val="NormaaliWeb"/>
                          <w:rPr>
                            <w:rFonts w:ascii="Arial" w:hAnsi="Arial" w:cs="Arial"/>
                            <w:color w:val="000000"/>
                            <w:sz w:val="22"/>
                            <w:szCs w:val="22"/>
                          </w:rPr>
                        </w:pPr>
                        <w:r>
                          <w:rPr>
                            <w:rFonts w:ascii="Arial" w:hAnsi="Arial" w:cs="Arial"/>
                            <w:color w:val="000000"/>
                            <w:sz w:val="22"/>
                            <w:szCs w:val="22"/>
                          </w:rPr>
                          <w:t> </w:t>
                        </w:r>
                      </w:p>
                      <w:p w:rsidR="00FF7E43" w:rsidRDefault="00FF7E43">
                        <w:pPr>
                          <w:pStyle w:val="NormaaliWeb"/>
                          <w:rPr>
                            <w:rFonts w:ascii="Arial" w:hAnsi="Arial" w:cs="Arial"/>
                            <w:color w:val="000000"/>
                            <w:sz w:val="22"/>
                            <w:szCs w:val="22"/>
                          </w:rPr>
                        </w:pPr>
                        <w:r>
                          <w:rPr>
                            <w:rStyle w:val="Voimakas"/>
                            <w:rFonts w:ascii="Arial" w:hAnsi="Arial" w:cs="Arial"/>
                            <w:color w:val="000000"/>
                            <w:sz w:val="20"/>
                            <w:szCs w:val="20"/>
                          </w:rPr>
                          <w:t>Katsauskauden jälkeiset tapahtumat</w:t>
                        </w:r>
                        <w:r>
                          <w:rPr>
                            <w:rFonts w:ascii="Arial" w:hAnsi="Arial" w:cs="Arial"/>
                            <w:color w:val="000000"/>
                            <w:sz w:val="22"/>
                            <w:szCs w:val="22"/>
                          </w:rPr>
                          <w:br/>
                        </w:r>
                        <w:r>
                          <w:rPr>
                            <w:rFonts w:ascii="Arial" w:hAnsi="Arial" w:cs="Arial"/>
                            <w:color w:val="000000"/>
                            <w:sz w:val="22"/>
                            <w:szCs w:val="22"/>
                          </w:rPr>
                          <w:br/>
                        </w:r>
                        <w:r>
                          <w:rPr>
                            <w:rFonts w:ascii="Arial" w:hAnsi="Arial" w:cs="Arial"/>
                            <w:color w:val="000000"/>
                            <w:sz w:val="20"/>
                            <w:szCs w:val="20"/>
                          </w:rPr>
                          <w:t xml:space="preserve">Atria ilmoitti 21.10.2013 luopuvansa kannattamattomasta sianlihan alkutuotannosta Venäjällä. Lisäksi Moskovassa sijaitseva teollinen tuotanto ja oma logistiikkayksikkö lopetetaan vuoden 2014 loppuun mennessä. Pizzan tuotanto siirretään </w:t>
                        </w:r>
                        <w:proofErr w:type="spellStart"/>
                        <w:r>
                          <w:rPr>
                            <w:rFonts w:ascii="Arial" w:hAnsi="Arial" w:cs="Arial"/>
                            <w:color w:val="000000"/>
                            <w:sz w:val="20"/>
                            <w:szCs w:val="20"/>
                          </w:rPr>
                          <w:t>Gorelovon</w:t>
                        </w:r>
                        <w:proofErr w:type="spellEnd"/>
                        <w:r>
                          <w:rPr>
                            <w:rFonts w:ascii="Arial" w:hAnsi="Arial" w:cs="Arial"/>
                            <w:color w:val="000000"/>
                            <w:sz w:val="20"/>
                            <w:szCs w:val="20"/>
                          </w:rPr>
                          <w:t xml:space="preserve"> tehtaalle Pietariin, jonne tehdään 4,6 miljoonan euron investoinnit. Myynti Moskovassa jatkuu edelleen </w:t>
                        </w:r>
                        <w:proofErr w:type="spellStart"/>
                        <w:r>
                          <w:rPr>
                            <w:rFonts w:ascii="Arial" w:hAnsi="Arial" w:cs="Arial"/>
                            <w:color w:val="000000"/>
                            <w:sz w:val="20"/>
                            <w:szCs w:val="20"/>
                          </w:rPr>
                          <w:t>Campomos-tuotemerkillä</w:t>
                        </w:r>
                        <w:proofErr w:type="spellEnd"/>
                        <w:r>
                          <w:rPr>
                            <w:rFonts w:ascii="Arial" w:hAnsi="Arial" w:cs="Arial"/>
                            <w:color w:val="000000"/>
                            <w:sz w:val="20"/>
                            <w:szCs w:val="20"/>
                          </w:rPr>
                          <w:t>. Liiketoimintojen lopettamisesta aiheutuvat arvonalentumiset kirjattiin Q3/2013-kaudelle. Arvonalentumisia kirjattiin yhteensä 23,0 miljoonaa euroa, josta liikevoittoon kohdistuu 15,4 miljoonaa euroa. Lisäksi toimintojen lopettamiseen liittyvänä kuluvarauksena kirjataan 2,0 miljoonaa euroa, joka kohdistuu Q4/2013-kaudelle.</w:t>
                        </w:r>
                        <w:r>
                          <w:rPr>
                            <w:rFonts w:ascii="Arial" w:hAnsi="Arial" w:cs="Arial"/>
                            <w:color w:val="000000"/>
                            <w:sz w:val="20"/>
                            <w:szCs w:val="20"/>
                          </w:rPr>
                          <w:br/>
                        </w:r>
                        <w:r>
                          <w:rPr>
                            <w:rFonts w:ascii="Arial" w:hAnsi="Arial" w:cs="Arial"/>
                            <w:color w:val="000000"/>
                            <w:sz w:val="20"/>
                            <w:szCs w:val="20"/>
                          </w:rPr>
                          <w:br/>
                          <w:t>Venäjän liiketoiminnoista tehtyjen kertaluontoisten kulukirjausten vuoksi Atria ilmoitti 21.10.2013 alentavansa liikevoittoennustettaan. Yhtiö arvioi koko vuoden 2013 liikevoiton olevan edellisvuoden 30,2 miljoonan euron liikevoittoa heikompi. Yhtiön liikevoiton ilman kertaluonteisia eriä arvioidaan olevan suurempi kuin 30,2 miljoonaa euroa. Atrian aikaisemman liikevoittoennusteen mukaan konsernin vuoden 2013 liikevoiton ennustettiin olevan suurempi kuin 30,2 miljoonaa euroa.</w:t>
                        </w:r>
                        <w:r>
                          <w:rPr>
                            <w:rFonts w:ascii="Arial" w:hAnsi="Arial" w:cs="Arial"/>
                            <w:color w:val="000000"/>
                            <w:sz w:val="20"/>
                            <w:szCs w:val="20"/>
                          </w:rPr>
                          <w:br/>
                        </w:r>
                        <w:r>
                          <w:rPr>
                            <w:rFonts w:ascii="Arial" w:hAnsi="Arial" w:cs="Arial"/>
                            <w:color w:val="000000"/>
                            <w:sz w:val="20"/>
                            <w:szCs w:val="20"/>
                          </w:rPr>
                          <w:br/>
                          <w:t>Kilpailu- ja kuluttajavirasto (KKV) antoi 28.10.2013 päätöksensä aloittaa jatkokäsittelyn yrityskaupassa, jossa Atria Oyj ostaa Saarioinen Oy:n lihanhankinta-, teurastus- ja lihanleikkuutoiminnat.</w:t>
                        </w:r>
                        <w:r>
                          <w:rPr>
                            <w:rFonts w:ascii="Arial" w:hAnsi="Arial" w:cs="Arial"/>
                            <w:color w:val="000000"/>
                            <w:sz w:val="20"/>
                            <w:szCs w:val="20"/>
                          </w:rPr>
                          <w:br/>
                        </w:r>
                        <w:r>
                          <w:rPr>
                            <w:rFonts w:ascii="Arial" w:hAnsi="Arial" w:cs="Arial"/>
                            <w:color w:val="000000"/>
                            <w:sz w:val="20"/>
                            <w:szCs w:val="20"/>
                          </w:rPr>
                          <w:br/>
                        </w:r>
                        <w:r>
                          <w:rPr>
                            <w:rStyle w:val="Voimakas"/>
                            <w:rFonts w:ascii="Arial" w:hAnsi="Arial" w:cs="Arial"/>
                            <w:color w:val="000000"/>
                            <w:sz w:val="20"/>
                            <w:szCs w:val="20"/>
                          </w:rPr>
                          <w:t xml:space="preserve">Tulevaisuuden näkymät </w:t>
                        </w:r>
                        <w:r>
                          <w:rPr>
                            <w:rFonts w:ascii="Arial" w:hAnsi="Arial" w:cs="Arial"/>
                            <w:color w:val="000000"/>
                            <w:sz w:val="22"/>
                            <w:szCs w:val="22"/>
                          </w:rPr>
                          <w:br/>
                        </w:r>
                        <w:r>
                          <w:rPr>
                            <w:rFonts w:ascii="Arial" w:hAnsi="Arial" w:cs="Arial"/>
                            <w:color w:val="000000"/>
                            <w:sz w:val="22"/>
                            <w:szCs w:val="22"/>
                          </w:rPr>
                          <w:br/>
                        </w:r>
                        <w:r>
                          <w:rPr>
                            <w:rFonts w:ascii="Arial" w:hAnsi="Arial" w:cs="Arial"/>
                            <w:color w:val="000000"/>
                            <w:sz w:val="20"/>
                            <w:szCs w:val="20"/>
                          </w:rPr>
                          <w:t>Konsernin liikevoitto vuonna 2012 oli 30,2 miljoonaa euroa. Vuonna 2013 liikevoiton ennustetaan olevan tätä heikompi. Yhtiön liikevoiton ilman kertaluonteisia eriä arvioidaan olevan suurempi kuin 30,2 miljoonaa euroa. Vuoden 2013 liikevaihdon arvioidaan kasvavan.</w:t>
                        </w:r>
                        <w:r>
                          <w:rPr>
                            <w:rFonts w:ascii="Arial" w:hAnsi="Arial" w:cs="Arial"/>
                            <w:color w:val="000000"/>
                            <w:sz w:val="22"/>
                            <w:szCs w:val="22"/>
                          </w:rPr>
                          <w:br/>
                        </w:r>
                        <w:r>
                          <w:rPr>
                            <w:rFonts w:ascii="Arial" w:hAnsi="Arial" w:cs="Arial"/>
                            <w:color w:val="000000"/>
                            <w:sz w:val="22"/>
                            <w:szCs w:val="22"/>
                          </w:rPr>
                          <w:br/>
                        </w:r>
                        <w:r>
                          <w:rPr>
                            <w:rStyle w:val="Voimakas"/>
                            <w:rFonts w:ascii="Arial" w:hAnsi="Arial" w:cs="Arial"/>
                            <w:color w:val="000000"/>
                            <w:sz w:val="20"/>
                            <w:szCs w:val="20"/>
                          </w:rPr>
                          <w:t>Julkistamismenettely</w:t>
                        </w:r>
                        <w:r>
                          <w:rPr>
                            <w:rFonts w:ascii="Arial" w:hAnsi="Arial" w:cs="Arial"/>
                            <w:color w:val="000000"/>
                            <w:sz w:val="20"/>
                            <w:szCs w:val="20"/>
                          </w:rPr>
                          <w:br/>
                        </w:r>
                        <w:r>
                          <w:rPr>
                            <w:rFonts w:ascii="Arial" w:hAnsi="Arial" w:cs="Arial"/>
                            <w:color w:val="000000"/>
                            <w:sz w:val="20"/>
                            <w:szCs w:val="20"/>
                          </w:rPr>
                          <w:br/>
                          <w:t xml:space="preserve">Atria Oyj noudattaa Finanssivalvonnan 5.2b-standardin mukaista julkistamismenettelyä ja julkistaa osavuosikatsauksen 1.1. – 30.9.2013 tämän pörssitiedotteen liitteenä. Tiedote on saatavilla kokonaisuudessaan yhtiön </w:t>
                        </w:r>
                        <w:proofErr w:type="spellStart"/>
                        <w:r>
                          <w:rPr>
                            <w:rFonts w:ascii="Arial" w:hAnsi="Arial" w:cs="Arial"/>
                            <w:color w:val="000000"/>
                            <w:sz w:val="20"/>
                            <w:szCs w:val="20"/>
                          </w:rPr>
                          <w:t>internetsivuilla</w:t>
                        </w:r>
                        <w:proofErr w:type="spellEnd"/>
                        <w:r>
                          <w:rPr>
                            <w:rFonts w:ascii="Arial" w:hAnsi="Arial" w:cs="Arial"/>
                            <w:color w:val="000000"/>
                            <w:sz w:val="20"/>
                            <w:szCs w:val="20"/>
                          </w:rPr>
                          <w:t xml:space="preserve"> osoitteessa </w:t>
                        </w:r>
                        <w:hyperlink r:id="rId5" w:history="1">
                          <w:r>
                            <w:rPr>
                              <w:rStyle w:val="Hyperlinkki"/>
                              <w:rFonts w:ascii="Arial" w:hAnsi="Arial" w:cs="Arial"/>
                              <w:sz w:val="20"/>
                              <w:szCs w:val="20"/>
                            </w:rPr>
                            <w:t>www.atriagroup.com</w:t>
                          </w:r>
                        </w:hyperlink>
                        <w:r>
                          <w:rPr>
                            <w:rFonts w:ascii="Arial" w:hAnsi="Arial" w:cs="Arial"/>
                            <w:color w:val="000000"/>
                            <w:sz w:val="20"/>
                            <w:szCs w:val="20"/>
                          </w:rPr>
                          <w:t>.</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Style w:val="Voimakas"/>
                            <w:rFonts w:ascii="Arial" w:hAnsi="Arial" w:cs="Arial"/>
                            <w:color w:val="000000"/>
                            <w:sz w:val="20"/>
                            <w:szCs w:val="20"/>
                          </w:rPr>
                          <w:t xml:space="preserve">Lisätietoja: </w:t>
                        </w:r>
                        <w:r>
                          <w:rPr>
                            <w:rFonts w:ascii="Arial" w:hAnsi="Arial" w:cs="Arial"/>
                            <w:color w:val="000000"/>
                            <w:sz w:val="20"/>
                            <w:szCs w:val="20"/>
                          </w:rPr>
                          <w:t xml:space="preserve">Juha </w:t>
                        </w:r>
                        <w:proofErr w:type="spellStart"/>
                        <w:r>
                          <w:rPr>
                            <w:rFonts w:ascii="Arial" w:hAnsi="Arial" w:cs="Arial"/>
                            <w:color w:val="000000"/>
                            <w:sz w:val="20"/>
                            <w:szCs w:val="20"/>
                          </w:rPr>
                          <w:t>Gröhn</w:t>
                        </w:r>
                        <w:proofErr w:type="spellEnd"/>
                        <w:r>
                          <w:rPr>
                            <w:rFonts w:ascii="Arial" w:hAnsi="Arial" w:cs="Arial"/>
                            <w:color w:val="000000"/>
                            <w:sz w:val="20"/>
                            <w:szCs w:val="20"/>
                          </w:rPr>
                          <w:t>, toimitusjohtaja, Atria Oyj, p. 0400 684 224.</w:t>
                        </w:r>
                        <w:r>
                          <w:rPr>
                            <w:rFonts w:ascii="Arial" w:hAnsi="Arial" w:cs="Arial"/>
                            <w:color w:val="000000"/>
                            <w:sz w:val="20"/>
                            <w:szCs w:val="20"/>
                          </w:rPr>
                          <w:br/>
                        </w:r>
                        <w:r>
                          <w:rPr>
                            <w:rFonts w:ascii="Arial" w:hAnsi="Arial" w:cs="Arial"/>
                            <w:color w:val="000000"/>
                            <w:sz w:val="20"/>
                            <w:szCs w:val="20"/>
                          </w:rPr>
                          <w:br/>
                        </w:r>
                        <w:r>
                          <w:rPr>
                            <w:rStyle w:val="Voimakas"/>
                            <w:rFonts w:ascii="Arial" w:hAnsi="Arial" w:cs="Arial"/>
                            <w:color w:val="000000"/>
                            <w:sz w:val="20"/>
                            <w:szCs w:val="20"/>
                          </w:rPr>
                          <w:t xml:space="preserve">Kutsu tiedotustilaisuuteen </w:t>
                        </w:r>
                        <w:r>
                          <w:rPr>
                            <w:rFonts w:ascii="Arial" w:hAnsi="Arial" w:cs="Arial"/>
                            <w:color w:val="000000"/>
                            <w:sz w:val="20"/>
                            <w:szCs w:val="20"/>
                          </w:rPr>
                          <w:br/>
                          <w:t xml:space="preserve">1.11.2013 klo 9.30 Atria Oyj:n Helsingin toimistolla osoitteessa Läkkisepäntie 23, Helsinki. Tiedotustilaisuuden esitysmateriaali on saatavilla osavuosikatsauksen julkaisemisen jälkeen yhtiön </w:t>
                        </w:r>
                        <w:proofErr w:type="spellStart"/>
                        <w:r>
                          <w:rPr>
                            <w:rFonts w:ascii="Arial" w:hAnsi="Arial" w:cs="Arial"/>
                            <w:color w:val="000000"/>
                            <w:sz w:val="20"/>
                            <w:szCs w:val="20"/>
                          </w:rPr>
                          <w:t>internetsivuilla</w:t>
                        </w:r>
                        <w:proofErr w:type="spellEnd"/>
                        <w:r>
                          <w:rPr>
                            <w:rFonts w:ascii="Arial" w:hAnsi="Arial" w:cs="Arial"/>
                            <w:color w:val="000000"/>
                            <w:sz w:val="20"/>
                            <w:szCs w:val="20"/>
                          </w:rPr>
                          <w:t xml:space="preserve"> (</w:t>
                        </w:r>
                        <w:hyperlink r:id="rId6" w:history="1">
                          <w:r>
                            <w:rPr>
                              <w:rStyle w:val="Hyperlinkki"/>
                              <w:rFonts w:ascii="Arial" w:hAnsi="Arial" w:cs="Arial"/>
                              <w:sz w:val="20"/>
                              <w:szCs w:val="20"/>
                            </w:rPr>
                            <w:t>www.atriagroup.com/sijoittajat/taloustieto/osavuosikatsaukset</w:t>
                          </w:r>
                        </w:hyperlink>
                        <w:r>
                          <w:rPr>
                            <w:rFonts w:ascii="Arial" w:hAnsi="Arial" w:cs="Arial"/>
                            <w:color w:val="000000"/>
                            <w:sz w:val="20"/>
                            <w:szCs w:val="20"/>
                          </w:rPr>
                          <w:t>) ja tämän pörssitiedotteen liitteenä.</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t>ATRIA OYJ</w:t>
                        </w:r>
                        <w:r>
                          <w:rPr>
                            <w:rFonts w:ascii="Arial" w:hAnsi="Arial" w:cs="Arial"/>
                            <w:color w:val="000000"/>
                            <w:sz w:val="20"/>
                            <w:szCs w:val="20"/>
                          </w:rPr>
                          <w:br/>
                          <w:t>Hallitus</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lastRenderedPageBreak/>
                          <w:br/>
                        </w:r>
                        <w:r>
                          <w:rPr>
                            <w:rStyle w:val="Voimakas"/>
                            <w:rFonts w:ascii="Arial" w:hAnsi="Arial" w:cs="Arial"/>
                            <w:color w:val="000000"/>
                            <w:sz w:val="20"/>
                            <w:szCs w:val="20"/>
                          </w:rPr>
                          <w:t>JAKELU</w:t>
                        </w:r>
                        <w:r>
                          <w:rPr>
                            <w:rFonts w:ascii="Arial" w:hAnsi="Arial" w:cs="Arial"/>
                            <w:color w:val="000000"/>
                            <w:sz w:val="20"/>
                            <w:szCs w:val="20"/>
                          </w:rPr>
                          <w:br/>
                        </w:r>
                        <w:proofErr w:type="spellStart"/>
                        <w:r>
                          <w:rPr>
                            <w:rFonts w:ascii="Arial" w:hAnsi="Arial" w:cs="Arial"/>
                            <w:color w:val="000000"/>
                            <w:sz w:val="20"/>
                            <w:szCs w:val="20"/>
                          </w:rPr>
                          <w:t>Nasdaq</w:t>
                        </w:r>
                        <w:proofErr w:type="spellEnd"/>
                        <w:r>
                          <w:rPr>
                            <w:rFonts w:ascii="Arial" w:hAnsi="Arial" w:cs="Arial"/>
                            <w:color w:val="000000"/>
                            <w:sz w:val="20"/>
                            <w:szCs w:val="20"/>
                          </w:rPr>
                          <w:t xml:space="preserve"> OMX Helsinki Oy</w:t>
                        </w:r>
                        <w:r>
                          <w:rPr>
                            <w:rFonts w:ascii="Arial" w:hAnsi="Arial" w:cs="Arial"/>
                            <w:color w:val="000000"/>
                            <w:sz w:val="20"/>
                            <w:szCs w:val="20"/>
                          </w:rPr>
                          <w:br/>
                          <w:t>Keskeiset tiedotusvälineet</w:t>
                        </w:r>
                        <w:r>
                          <w:rPr>
                            <w:rFonts w:ascii="Arial" w:hAnsi="Arial" w:cs="Arial"/>
                            <w:color w:val="000000"/>
                            <w:sz w:val="20"/>
                            <w:szCs w:val="20"/>
                          </w:rPr>
                          <w:br/>
                        </w:r>
                        <w:hyperlink r:id="rId7" w:history="1">
                          <w:r>
                            <w:rPr>
                              <w:rStyle w:val="Hyperlinkki"/>
                              <w:rFonts w:ascii="Arial" w:hAnsi="Arial" w:cs="Arial"/>
                              <w:sz w:val="20"/>
                              <w:szCs w:val="20"/>
                            </w:rPr>
                            <w:t>www.atriagroup.com</w:t>
                          </w:r>
                        </w:hyperlink>
                      </w:p>
                      <w:p w:rsidR="00FF7E43" w:rsidRDefault="00FF7E43">
                        <w:pPr>
                          <w:pStyle w:val="NormaaliWeb"/>
                          <w:rPr>
                            <w:rFonts w:ascii="Arial" w:hAnsi="Arial" w:cs="Arial"/>
                            <w:color w:val="000000"/>
                            <w:sz w:val="22"/>
                            <w:szCs w:val="22"/>
                          </w:rPr>
                        </w:pPr>
                        <w:r>
                          <w:rPr>
                            <w:rFonts w:ascii="Arial" w:hAnsi="Arial" w:cs="Arial"/>
                            <w:color w:val="000000"/>
                            <w:sz w:val="22"/>
                            <w:szCs w:val="22"/>
                          </w:rPr>
                          <w:t> </w:t>
                        </w:r>
                      </w:p>
                    </w:tc>
                  </w:tr>
                  <w:tr w:rsidR="00FF7E43">
                    <w:trPr>
                      <w:tblCellSpacing w:w="15" w:type="dxa"/>
                    </w:trPr>
                    <w:tc>
                      <w:tcPr>
                        <w:tcW w:w="0" w:type="auto"/>
                        <w:tcBorders>
                          <w:top w:val="nil"/>
                          <w:left w:val="nil"/>
                          <w:bottom w:val="nil"/>
                          <w:right w:val="nil"/>
                        </w:tcBorders>
                        <w:shd w:val="clear" w:color="auto" w:fill="FFFFFF"/>
                        <w:vAlign w:val="center"/>
                        <w:hideMark/>
                      </w:tcPr>
                      <w:p w:rsidR="00FF7E43" w:rsidRDefault="00FF7E43">
                        <w:pPr>
                          <w:spacing w:before="100" w:beforeAutospacing="1" w:after="240"/>
                          <w:rPr>
                            <w:rFonts w:ascii="Verdana" w:hAnsi="Verdana" w:cs="Arial"/>
                            <w:color w:val="888888"/>
                            <w:sz w:val="15"/>
                            <w:szCs w:val="15"/>
                          </w:rPr>
                        </w:pPr>
                        <w:r>
                          <w:rPr>
                            <w:rFonts w:ascii="Verdana" w:hAnsi="Verdana" w:cs="Arial"/>
                            <w:color w:val="888888"/>
                            <w:sz w:val="15"/>
                            <w:szCs w:val="15"/>
                          </w:rPr>
                          <w:lastRenderedPageBreak/>
                          <w:t>Liitteet:</w:t>
                        </w:r>
                        <w:r>
                          <w:rPr>
                            <w:rFonts w:ascii="Verdana" w:hAnsi="Verdana" w:cs="Arial"/>
                            <w:color w:val="888888"/>
                            <w:sz w:val="15"/>
                            <w:szCs w:val="15"/>
                          </w:rPr>
                          <w:br/>
                        </w:r>
                        <w:hyperlink r:id="rId8" w:history="1">
                          <w:r>
                            <w:rPr>
                              <w:rStyle w:val="Hyperlinkki"/>
                              <w:rFonts w:ascii="Verdana" w:hAnsi="Verdana" w:cs="Arial"/>
                              <w:b/>
                              <w:bCs/>
                              <w:color w:val="336699"/>
                              <w:sz w:val="15"/>
                              <w:szCs w:val="15"/>
                            </w:rPr>
                            <w:t xml:space="preserve">Atria Oyj_Q3_2013_esitys.pdf </w:t>
                          </w:r>
                        </w:hyperlink>
                        <w:r>
                          <w:rPr>
                            <w:rFonts w:ascii="Verdana" w:hAnsi="Verdana" w:cs="Arial"/>
                            <w:color w:val="888888"/>
                            <w:sz w:val="15"/>
                            <w:szCs w:val="15"/>
                          </w:rPr>
                          <w:br/>
                        </w:r>
                        <w:hyperlink r:id="rId9" w:history="1">
                          <w:r>
                            <w:rPr>
                              <w:rStyle w:val="Hyperlinkki"/>
                              <w:rFonts w:ascii="Verdana" w:hAnsi="Verdana" w:cs="Arial"/>
                              <w:b/>
                              <w:bCs/>
                              <w:color w:val="336699"/>
                              <w:sz w:val="15"/>
                              <w:szCs w:val="15"/>
                            </w:rPr>
                            <w:t xml:space="preserve">Atria </w:t>
                          </w:r>
                          <w:proofErr w:type="spellStart"/>
                          <w:r>
                            <w:rPr>
                              <w:rStyle w:val="Hyperlinkki"/>
                              <w:rFonts w:ascii="Verdana" w:hAnsi="Verdana" w:cs="Arial"/>
                              <w:b/>
                              <w:bCs/>
                              <w:color w:val="336699"/>
                              <w:sz w:val="15"/>
                              <w:szCs w:val="15"/>
                            </w:rPr>
                            <w:t>Oyj_osavuosikatsaus</w:t>
                          </w:r>
                          <w:proofErr w:type="spellEnd"/>
                          <w:r>
                            <w:rPr>
                              <w:rStyle w:val="Hyperlinkki"/>
                              <w:rFonts w:ascii="Verdana" w:hAnsi="Verdana" w:cs="Arial"/>
                              <w:b/>
                              <w:bCs/>
                              <w:color w:val="336699"/>
                              <w:sz w:val="15"/>
                              <w:szCs w:val="15"/>
                            </w:rPr>
                            <w:t xml:space="preserve"> Q3_2013.pdf </w:t>
                          </w:r>
                        </w:hyperlink>
                      </w:p>
                    </w:tc>
                  </w:tr>
                </w:tbl>
                <w:p w:rsidR="00FF7E43" w:rsidRDefault="00FF7E43">
                  <w:pPr>
                    <w:rPr>
                      <w:rFonts w:asciiTheme="minorHAnsi" w:eastAsiaTheme="minorEastAsia" w:hAnsiTheme="minorHAnsi" w:cstheme="minorBidi"/>
                      <w:sz w:val="22"/>
                      <w:szCs w:val="22"/>
                    </w:rPr>
                  </w:pPr>
                </w:p>
              </w:tc>
            </w:tr>
            <w:tr w:rsidR="00FF7E43">
              <w:trPr>
                <w:tblCellSpacing w:w="0" w:type="dxa"/>
              </w:trPr>
              <w:tc>
                <w:tcPr>
                  <w:tcW w:w="0" w:type="auto"/>
                  <w:tcMar>
                    <w:top w:w="60" w:type="dxa"/>
                    <w:left w:w="150" w:type="dxa"/>
                    <w:bottom w:w="150" w:type="dxa"/>
                    <w:right w:w="150" w:type="dxa"/>
                  </w:tcMar>
                  <w:vAlign w:val="center"/>
                  <w:hideMark/>
                </w:tcPr>
                <w:p w:rsidR="00FF7E43" w:rsidRDefault="00FF7E43" w:rsidP="00FF7E43">
                  <w:pPr>
                    <w:jc w:val="center"/>
                    <w:rPr>
                      <w:rFonts w:ascii="Verdana" w:eastAsia="Times New Roman" w:hAnsi="Verdana" w:cs="Arial"/>
                      <w:color w:val="888888"/>
                      <w:sz w:val="15"/>
                      <w:szCs w:val="15"/>
                    </w:rPr>
                  </w:pPr>
                  <w:r>
                    <w:rPr>
                      <w:rFonts w:ascii="Verdana" w:eastAsia="Times New Roman" w:hAnsi="Verdana" w:cs="Arial"/>
                      <w:color w:val="888888"/>
                      <w:sz w:val="15"/>
                      <w:szCs w:val="15"/>
                    </w:rPr>
                    <w:lastRenderedPageBreak/>
                    <w:pict>
                      <v:rect id="_x0000_i1025" style="width:481.9pt;height:.75pt" o:hralign="center" o:hrstd="t" o:hrnoshade="t" o:hr="t" fillcolor="#a0a0a0" stroked="f"/>
                    </w:pict>
                  </w:r>
                </w:p>
                <w:p w:rsidR="00FF7E43" w:rsidRDefault="00FF7E43">
                  <w:pPr>
                    <w:rPr>
                      <w:rFonts w:ascii="Verdana" w:eastAsia="Times New Roman" w:hAnsi="Verdana" w:cs="Arial"/>
                      <w:color w:val="888888"/>
                      <w:sz w:val="15"/>
                      <w:szCs w:val="15"/>
                    </w:rPr>
                  </w:pPr>
                  <w:r>
                    <w:rPr>
                      <w:rFonts w:ascii="Verdana" w:eastAsia="Times New Roman" w:hAnsi="Verdana" w:cs="Arial"/>
                      <w:color w:val="888888"/>
                      <w:sz w:val="15"/>
                      <w:szCs w:val="15"/>
                    </w:rPr>
                    <w:t xml:space="preserve">Viestin lähettäjä </w:t>
                  </w:r>
                  <w:proofErr w:type="spellStart"/>
                  <w:r>
                    <w:rPr>
                      <w:rFonts w:ascii="Verdana" w:eastAsia="Times New Roman" w:hAnsi="Verdana" w:cs="Arial"/>
                      <w:color w:val="888888"/>
                      <w:sz w:val="15"/>
                      <w:szCs w:val="15"/>
                    </w:rPr>
                    <w:t>GlobeNewswire</w:t>
                  </w:r>
                  <w:proofErr w:type="spellEnd"/>
                  <w:r>
                    <w:rPr>
                      <w:rFonts w:ascii="Verdana" w:eastAsia="Times New Roman" w:hAnsi="Verdana" w:cs="Arial"/>
                      <w:color w:val="888888"/>
                      <w:sz w:val="15"/>
                      <w:szCs w:val="15"/>
                    </w:rPr>
                    <w:t xml:space="preserve">, </w:t>
                  </w:r>
                  <w:hyperlink r:id="rId10" w:tgtFrame="_blank" w:history="1">
                    <w:r>
                      <w:rPr>
                        <w:rStyle w:val="Hyperlinkki"/>
                        <w:rFonts w:ascii="Verdana" w:eastAsia="Times New Roman" w:hAnsi="Verdana" w:cs="Arial"/>
                        <w:color w:val="336699"/>
                        <w:sz w:val="15"/>
                        <w:szCs w:val="15"/>
                      </w:rPr>
                      <w:t>www.globenewswire.com</w:t>
                    </w:r>
                  </w:hyperlink>
                  <w:r>
                    <w:rPr>
                      <w:rFonts w:ascii="Verdana" w:eastAsia="Times New Roman" w:hAnsi="Verdana" w:cs="Arial"/>
                      <w:color w:val="888888"/>
                      <w:sz w:val="15"/>
                      <w:szCs w:val="15"/>
                    </w:rPr>
                    <w:t xml:space="preserve"> – a NASDAQ OMX </w:t>
                  </w:r>
                  <w:proofErr w:type="spellStart"/>
                  <w:r>
                    <w:rPr>
                      <w:rFonts w:ascii="Verdana" w:eastAsia="Times New Roman" w:hAnsi="Verdana" w:cs="Arial"/>
                      <w:color w:val="888888"/>
                      <w:sz w:val="15"/>
                      <w:szCs w:val="15"/>
                    </w:rPr>
                    <w:t>company</w:t>
                  </w:r>
                  <w:proofErr w:type="spellEnd"/>
                  <w:r>
                    <w:rPr>
                      <w:rFonts w:ascii="Verdana" w:eastAsia="Times New Roman" w:hAnsi="Verdana" w:cs="Arial"/>
                      <w:color w:val="888888"/>
                      <w:sz w:val="15"/>
                      <w:szCs w:val="15"/>
                    </w:rPr>
                    <w:t xml:space="preserve"> </w:t>
                  </w:r>
                </w:p>
              </w:tc>
            </w:tr>
          </w:tbl>
          <w:p w:rsidR="00FF7E43" w:rsidRDefault="00FF7E43">
            <w:pPr>
              <w:rPr>
                <w:rFonts w:asciiTheme="minorHAnsi" w:eastAsiaTheme="minorEastAsia" w:hAnsiTheme="minorHAnsi" w:cstheme="minorBidi"/>
                <w:sz w:val="22"/>
                <w:szCs w:val="22"/>
              </w:rPr>
            </w:pPr>
          </w:p>
        </w:tc>
      </w:tr>
    </w:tbl>
    <w:p w:rsidR="00FF7E43" w:rsidRDefault="00FF7E43" w:rsidP="00FF7E43">
      <w:pPr>
        <w:rPr>
          <w:rFonts w:eastAsia="Times New Roman"/>
        </w:rPr>
      </w:pPr>
    </w:p>
    <w:p w:rsidR="00BF560E" w:rsidRDefault="00BF560E"/>
    <w:sectPr w:rsidR="00BF560E" w:rsidSect="00BF560E">
      <w:pgSz w:w="11906" w:h="16838"/>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compat/>
  <w:rsids>
    <w:rsidRoot w:val="00FF7E43"/>
    <w:rsid w:val="000109E8"/>
    <w:rsid w:val="0001787A"/>
    <w:rsid w:val="000342FE"/>
    <w:rsid w:val="00053C53"/>
    <w:rsid w:val="000544C5"/>
    <w:rsid w:val="0006621A"/>
    <w:rsid w:val="00084098"/>
    <w:rsid w:val="00086F72"/>
    <w:rsid w:val="000944EC"/>
    <w:rsid w:val="00094570"/>
    <w:rsid w:val="000B2C31"/>
    <w:rsid w:val="000C25CC"/>
    <w:rsid w:val="00110F03"/>
    <w:rsid w:val="00117CCC"/>
    <w:rsid w:val="001308C0"/>
    <w:rsid w:val="001358D5"/>
    <w:rsid w:val="001468D0"/>
    <w:rsid w:val="00151661"/>
    <w:rsid w:val="00164EB4"/>
    <w:rsid w:val="00183ACB"/>
    <w:rsid w:val="001B51EF"/>
    <w:rsid w:val="001D2210"/>
    <w:rsid w:val="002028A8"/>
    <w:rsid w:val="00230FFD"/>
    <w:rsid w:val="0023240E"/>
    <w:rsid w:val="002434C8"/>
    <w:rsid w:val="00252391"/>
    <w:rsid w:val="00282C11"/>
    <w:rsid w:val="00287183"/>
    <w:rsid w:val="002957FE"/>
    <w:rsid w:val="002A6E9E"/>
    <w:rsid w:val="002B1B9A"/>
    <w:rsid w:val="002B7C54"/>
    <w:rsid w:val="002C07AB"/>
    <w:rsid w:val="003061B8"/>
    <w:rsid w:val="00307EBD"/>
    <w:rsid w:val="003253BF"/>
    <w:rsid w:val="00383144"/>
    <w:rsid w:val="00396589"/>
    <w:rsid w:val="003C148A"/>
    <w:rsid w:val="003C3F96"/>
    <w:rsid w:val="003C545F"/>
    <w:rsid w:val="003D092F"/>
    <w:rsid w:val="003E37E9"/>
    <w:rsid w:val="003E4D5C"/>
    <w:rsid w:val="00405D52"/>
    <w:rsid w:val="00436573"/>
    <w:rsid w:val="00436B06"/>
    <w:rsid w:val="00446831"/>
    <w:rsid w:val="00483F99"/>
    <w:rsid w:val="004A1693"/>
    <w:rsid w:val="004B1AE2"/>
    <w:rsid w:val="004D5488"/>
    <w:rsid w:val="00510F17"/>
    <w:rsid w:val="005234A7"/>
    <w:rsid w:val="005243F0"/>
    <w:rsid w:val="0053025A"/>
    <w:rsid w:val="00550422"/>
    <w:rsid w:val="00552C3F"/>
    <w:rsid w:val="00554276"/>
    <w:rsid w:val="00565A3F"/>
    <w:rsid w:val="0057414A"/>
    <w:rsid w:val="00583A63"/>
    <w:rsid w:val="005A069F"/>
    <w:rsid w:val="005F170B"/>
    <w:rsid w:val="005F5942"/>
    <w:rsid w:val="0060657B"/>
    <w:rsid w:val="006070AE"/>
    <w:rsid w:val="00616B1A"/>
    <w:rsid w:val="00631346"/>
    <w:rsid w:val="006353E6"/>
    <w:rsid w:val="006413E1"/>
    <w:rsid w:val="00641F80"/>
    <w:rsid w:val="006800EB"/>
    <w:rsid w:val="00681C44"/>
    <w:rsid w:val="006B00FC"/>
    <w:rsid w:val="006B1DA3"/>
    <w:rsid w:val="006E33D8"/>
    <w:rsid w:val="006E67CC"/>
    <w:rsid w:val="00716D99"/>
    <w:rsid w:val="00717A44"/>
    <w:rsid w:val="00721F65"/>
    <w:rsid w:val="00733E8F"/>
    <w:rsid w:val="00734FAE"/>
    <w:rsid w:val="0074616A"/>
    <w:rsid w:val="007662E0"/>
    <w:rsid w:val="00767614"/>
    <w:rsid w:val="00784EB4"/>
    <w:rsid w:val="00794539"/>
    <w:rsid w:val="0079477F"/>
    <w:rsid w:val="007A436F"/>
    <w:rsid w:val="007A6121"/>
    <w:rsid w:val="007D1BBB"/>
    <w:rsid w:val="007E0C80"/>
    <w:rsid w:val="007E2306"/>
    <w:rsid w:val="007F00C0"/>
    <w:rsid w:val="007F1A14"/>
    <w:rsid w:val="007F318C"/>
    <w:rsid w:val="007F51AD"/>
    <w:rsid w:val="007F6929"/>
    <w:rsid w:val="00806707"/>
    <w:rsid w:val="00806BCD"/>
    <w:rsid w:val="0085390A"/>
    <w:rsid w:val="00867934"/>
    <w:rsid w:val="00871B75"/>
    <w:rsid w:val="008C007C"/>
    <w:rsid w:val="008C05C9"/>
    <w:rsid w:val="008C75ED"/>
    <w:rsid w:val="008D0301"/>
    <w:rsid w:val="008D5771"/>
    <w:rsid w:val="008E0F32"/>
    <w:rsid w:val="009019B3"/>
    <w:rsid w:val="00903F82"/>
    <w:rsid w:val="00932691"/>
    <w:rsid w:val="00935DE6"/>
    <w:rsid w:val="00966DD5"/>
    <w:rsid w:val="00977C59"/>
    <w:rsid w:val="00996215"/>
    <w:rsid w:val="009C7D58"/>
    <w:rsid w:val="009F4F4D"/>
    <w:rsid w:val="00A048D0"/>
    <w:rsid w:val="00A066A5"/>
    <w:rsid w:val="00A36BFB"/>
    <w:rsid w:val="00A37535"/>
    <w:rsid w:val="00A50540"/>
    <w:rsid w:val="00A60343"/>
    <w:rsid w:val="00A76CA1"/>
    <w:rsid w:val="00A84332"/>
    <w:rsid w:val="00A91F5D"/>
    <w:rsid w:val="00AA0DF1"/>
    <w:rsid w:val="00AA7501"/>
    <w:rsid w:val="00AB29D2"/>
    <w:rsid w:val="00AD7984"/>
    <w:rsid w:val="00AE3EF0"/>
    <w:rsid w:val="00AF6FC5"/>
    <w:rsid w:val="00B05A39"/>
    <w:rsid w:val="00B101EB"/>
    <w:rsid w:val="00B103D1"/>
    <w:rsid w:val="00B665E8"/>
    <w:rsid w:val="00B66C5F"/>
    <w:rsid w:val="00B674FA"/>
    <w:rsid w:val="00B72425"/>
    <w:rsid w:val="00B7703F"/>
    <w:rsid w:val="00B814FA"/>
    <w:rsid w:val="00B81849"/>
    <w:rsid w:val="00B83060"/>
    <w:rsid w:val="00B93702"/>
    <w:rsid w:val="00BA5010"/>
    <w:rsid w:val="00BC1D58"/>
    <w:rsid w:val="00BC2AD2"/>
    <w:rsid w:val="00BD7DFC"/>
    <w:rsid w:val="00BF5305"/>
    <w:rsid w:val="00BF560E"/>
    <w:rsid w:val="00C01BD1"/>
    <w:rsid w:val="00C46DC8"/>
    <w:rsid w:val="00C51275"/>
    <w:rsid w:val="00C73E16"/>
    <w:rsid w:val="00C93291"/>
    <w:rsid w:val="00C95246"/>
    <w:rsid w:val="00CC57E4"/>
    <w:rsid w:val="00D135E8"/>
    <w:rsid w:val="00D34176"/>
    <w:rsid w:val="00D366FD"/>
    <w:rsid w:val="00D70833"/>
    <w:rsid w:val="00D84C8F"/>
    <w:rsid w:val="00DC4398"/>
    <w:rsid w:val="00DE1913"/>
    <w:rsid w:val="00DE506F"/>
    <w:rsid w:val="00DF046B"/>
    <w:rsid w:val="00E048DA"/>
    <w:rsid w:val="00E331AE"/>
    <w:rsid w:val="00E36193"/>
    <w:rsid w:val="00E36502"/>
    <w:rsid w:val="00E36A40"/>
    <w:rsid w:val="00E5446C"/>
    <w:rsid w:val="00E6203C"/>
    <w:rsid w:val="00E64B45"/>
    <w:rsid w:val="00E72F90"/>
    <w:rsid w:val="00E737AD"/>
    <w:rsid w:val="00E85E8E"/>
    <w:rsid w:val="00E87166"/>
    <w:rsid w:val="00EA2AC3"/>
    <w:rsid w:val="00EB3C47"/>
    <w:rsid w:val="00EC30F0"/>
    <w:rsid w:val="00EE3AD0"/>
    <w:rsid w:val="00EE43A1"/>
    <w:rsid w:val="00EF7B46"/>
    <w:rsid w:val="00F048A8"/>
    <w:rsid w:val="00F07C6F"/>
    <w:rsid w:val="00F10427"/>
    <w:rsid w:val="00F173D8"/>
    <w:rsid w:val="00F2511C"/>
    <w:rsid w:val="00F33040"/>
    <w:rsid w:val="00F330FD"/>
    <w:rsid w:val="00F653CD"/>
    <w:rsid w:val="00F73CFC"/>
    <w:rsid w:val="00FA7622"/>
    <w:rsid w:val="00FB6553"/>
    <w:rsid w:val="00FC0C20"/>
    <w:rsid w:val="00FD531F"/>
    <w:rsid w:val="00FF2E8D"/>
    <w:rsid w:val="00FF7E43"/>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FF7E43"/>
    <w:pPr>
      <w:spacing w:after="0" w:line="240" w:lineRule="auto"/>
    </w:pPr>
    <w:rPr>
      <w:rFonts w:ascii="Times New Roman" w:hAnsi="Times New Roman" w:cs="Times New Roman"/>
      <w:sz w:val="24"/>
      <w:szCs w:val="24"/>
      <w:lang w:eastAsia="fi-FI"/>
    </w:rPr>
  </w:style>
  <w:style w:type="paragraph" w:styleId="Otsikko3">
    <w:name w:val="heading 3"/>
    <w:basedOn w:val="Normaali"/>
    <w:link w:val="Otsikko3Char"/>
    <w:uiPriority w:val="9"/>
    <w:semiHidden/>
    <w:unhideWhenUsed/>
    <w:qFormat/>
    <w:rsid w:val="00FF7E43"/>
    <w:pPr>
      <w:spacing w:before="100" w:beforeAutospacing="1" w:after="100" w:afterAutospacing="1"/>
      <w:outlineLvl w:val="2"/>
    </w:pPr>
    <w:rPr>
      <w:b/>
      <w:bCs/>
      <w:sz w:val="27"/>
      <w:szCs w:val="27"/>
    </w:rPr>
  </w:style>
  <w:style w:type="paragraph" w:styleId="Otsikko4">
    <w:name w:val="heading 4"/>
    <w:basedOn w:val="Normaali"/>
    <w:link w:val="Otsikko4Char"/>
    <w:uiPriority w:val="9"/>
    <w:semiHidden/>
    <w:unhideWhenUsed/>
    <w:qFormat/>
    <w:rsid w:val="00FF7E43"/>
    <w:pPr>
      <w:spacing w:before="100" w:beforeAutospacing="1" w:after="100" w:afterAutospacing="1"/>
      <w:outlineLvl w:val="3"/>
    </w:pPr>
    <w:rPr>
      <w:b/>
      <w:bCs/>
    </w:rPr>
  </w:style>
  <w:style w:type="paragraph" w:styleId="Otsikko6">
    <w:name w:val="heading 6"/>
    <w:basedOn w:val="Normaali"/>
    <w:link w:val="Otsikko6Char"/>
    <w:uiPriority w:val="9"/>
    <w:semiHidden/>
    <w:unhideWhenUsed/>
    <w:qFormat/>
    <w:rsid w:val="00FF7E43"/>
    <w:pPr>
      <w:spacing w:before="100" w:beforeAutospacing="1" w:after="100" w:afterAutospacing="1"/>
      <w:outlineLvl w:val="5"/>
    </w:pPr>
    <w:rPr>
      <w:b/>
      <w:bCs/>
      <w:sz w:val="15"/>
      <w:szCs w:val="15"/>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semiHidden/>
    <w:rsid w:val="00FF7E43"/>
    <w:rPr>
      <w:rFonts w:ascii="Times New Roman" w:hAnsi="Times New Roman" w:cs="Times New Roman"/>
      <w:b/>
      <w:bCs/>
      <w:sz w:val="27"/>
      <w:szCs w:val="27"/>
      <w:lang w:eastAsia="fi-FI"/>
    </w:rPr>
  </w:style>
  <w:style w:type="character" w:customStyle="1" w:styleId="Otsikko4Char">
    <w:name w:val="Otsikko 4 Char"/>
    <w:basedOn w:val="Kappaleenoletusfontti"/>
    <w:link w:val="Otsikko4"/>
    <w:uiPriority w:val="9"/>
    <w:semiHidden/>
    <w:rsid w:val="00FF7E43"/>
    <w:rPr>
      <w:rFonts w:ascii="Times New Roman" w:hAnsi="Times New Roman" w:cs="Times New Roman"/>
      <w:b/>
      <w:bCs/>
      <w:sz w:val="24"/>
      <w:szCs w:val="24"/>
      <w:lang w:eastAsia="fi-FI"/>
    </w:rPr>
  </w:style>
  <w:style w:type="character" w:customStyle="1" w:styleId="Otsikko6Char">
    <w:name w:val="Otsikko 6 Char"/>
    <w:basedOn w:val="Kappaleenoletusfontti"/>
    <w:link w:val="Otsikko6"/>
    <w:uiPriority w:val="9"/>
    <w:semiHidden/>
    <w:rsid w:val="00FF7E43"/>
    <w:rPr>
      <w:rFonts w:ascii="Times New Roman" w:hAnsi="Times New Roman" w:cs="Times New Roman"/>
      <w:b/>
      <w:bCs/>
      <w:sz w:val="15"/>
      <w:szCs w:val="15"/>
      <w:lang w:eastAsia="fi-FI"/>
    </w:rPr>
  </w:style>
  <w:style w:type="character" w:styleId="Hyperlinkki">
    <w:name w:val="Hyperlink"/>
    <w:basedOn w:val="Kappaleenoletusfontti"/>
    <w:uiPriority w:val="99"/>
    <w:semiHidden/>
    <w:unhideWhenUsed/>
    <w:rsid w:val="00FF7E43"/>
    <w:rPr>
      <w:color w:val="0000FF"/>
      <w:u w:val="single"/>
    </w:rPr>
  </w:style>
  <w:style w:type="paragraph" w:styleId="NormaaliWeb">
    <w:name w:val="Normal (Web)"/>
    <w:basedOn w:val="Normaali"/>
    <w:uiPriority w:val="99"/>
    <w:unhideWhenUsed/>
    <w:rsid w:val="00FF7E43"/>
    <w:pPr>
      <w:spacing w:before="100" w:beforeAutospacing="1" w:after="100" w:afterAutospacing="1"/>
    </w:pPr>
  </w:style>
  <w:style w:type="character" w:styleId="Voimakas">
    <w:name w:val="Strong"/>
    <w:basedOn w:val="Kappaleenoletusfontti"/>
    <w:uiPriority w:val="22"/>
    <w:qFormat/>
    <w:rsid w:val="00FF7E43"/>
    <w:rPr>
      <w:b/>
      <w:bCs/>
    </w:rPr>
  </w:style>
  <w:style w:type="paragraph" w:styleId="Seliteteksti">
    <w:name w:val="Balloon Text"/>
    <w:basedOn w:val="Normaali"/>
    <w:link w:val="SelitetekstiChar"/>
    <w:uiPriority w:val="99"/>
    <w:semiHidden/>
    <w:unhideWhenUsed/>
    <w:rsid w:val="00FF7E43"/>
    <w:rPr>
      <w:rFonts w:ascii="Tahoma" w:hAnsi="Tahoma" w:cs="Tahoma"/>
      <w:sz w:val="16"/>
      <w:szCs w:val="16"/>
    </w:rPr>
  </w:style>
  <w:style w:type="character" w:customStyle="1" w:styleId="SelitetekstiChar">
    <w:name w:val="Seliteteksti Char"/>
    <w:basedOn w:val="Kappaleenoletusfontti"/>
    <w:link w:val="Seliteteksti"/>
    <w:uiPriority w:val="99"/>
    <w:semiHidden/>
    <w:rsid w:val="00FF7E43"/>
    <w:rPr>
      <w:rFonts w:ascii="Tahoma" w:hAnsi="Tahoma" w:cs="Tahoma"/>
      <w:sz w:val="16"/>
      <w:szCs w:val="16"/>
      <w:lang w:eastAsia="fi-FI"/>
    </w:rPr>
  </w:style>
</w:styles>
</file>

<file path=word/webSettings.xml><?xml version="1.0" encoding="utf-8"?>
<w:webSettings xmlns:r="http://schemas.openxmlformats.org/officeDocument/2006/relationships" xmlns:w="http://schemas.openxmlformats.org/wordprocessingml/2006/main">
  <w:divs>
    <w:div w:id="1292637866">
      <w:bodyDiv w:val="1"/>
      <w:marLeft w:val="0"/>
      <w:marRight w:val="0"/>
      <w:marTop w:val="0"/>
      <w:marBottom w:val="0"/>
      <w:divBdr>
        <w:top w:val="none" w:sz="0" w:space="0" w:color="auto"/>
        <w:left w:val="none" w:sz="0" w:space="0" w:color="auto"/>
        <w:bottom w:val="none" w:sz="0" w:space="0" w:color="auto"/>
        <w:right w:val="none" w:sz="0" w:space="0" w:color="auto"/>
      </w:divBdr>
      <w:divsChild>
        <w:div w:id="569972289">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wsclient.omxgroup.com:443/cds/DisclosureAttachmentServlet?showInline=true&amp;messageAttachmentId=449277" TargetMode="External"/><Relationship Id="rId3" Type="http://schemas.openxmlformats.org/officeDocument/2006/relationships/webSettings" Target="webSettings.xml"/><Relationship Id="rId7" Type="http://schemas.openxmlformats.org/officeDocument/2006/relationships/hyperlink" Target="http://www.atriagroup.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triagroup.com/sijoittajat/taloustieto/osavuosikatsaukset" TargetMode="External"/><Relationship Id="rId11" Type="http://schemas.openxmlformats.org/officeDocument/2006/relationships/fontTable" Target="fontTable.xml"/><Relationship Id="rId5" Type="http://schemas.openxmlformats.org/officeDocument/2006/relationships/hyperlink" Target="http://www.atriagroup.com" TargetMode="External"/><Relationship Id="rId10" Type="http://schemas.openxmlformats.org/officeDocument/2006/relationships/hyperlink" Target="http://www.globenewswire.com" TargetMode="External"/><Relationship Id="rId4" Type="http://schemas.openxmlformats.org/officeDocument/2006/relationships/image" Target="media/image1.jpeg"/><Relationship Id="rId9" Type="http://schemas.openxmlformats.org/officeDocument/2006/relationships/hyperlink" Target="https://newsclient.omxgroup.com:443/cds/DisclosureAttachmentServlet?showInline=true&amp;messageAttachmentId=449276"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1464</Words>
  <Characters>11865</Characters>
  <Application>Microsoft Office Word</Application>
  <DocSecurity>0</DocSecurity>
  <Lines>98</Lines>
  <Paragraphs>26</Paragraphs>
  <ScaleCrop>false</ScaleCrop>
  <Company/>
  <LinksUpToDate>false</LinksUpToDate>
  <CharactersWithSpaces>13303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eini.keranen</dc:creator>
  <cp:lastModifiedBy>eini.keranen</cp:lastModifiedBy>
  <cp:revision>1</cp:revision>
  <dcterms:created xsi:type="dcterms:W3CDTF">2013-11-01T06:44:00Z</dcterms:created>
  <dcterms:modified xsi:type="dcterms:W3CDTF">2013-11-01T06:46:00Z</dcterms:modified>
</cp:coreProperties>
</file>